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A9A2D" w14:textId="367A28CA" w:rsidR="00CD1558" w:rsidRDefault="00AC0CC9">
      <w:pPr>
        <w:rPr>
          <w:rFonts w:ascii="Verdana" w:hAnsi="Verdana" w:cs="Arial"/>
          <w:b/>
          <w:bCs/>
          <w:kern w:val="36"/>
          <w:sz w:val="24"/>
          <w:szCs w:val="24"/>
          <w:lang w:val="en"/>
        </w:rPr>
      </w:pPr>
      <w:bookmarkStart w:id="0" w:name="DES1246"/>
      <w:bookmarkStart w:id="1" w:name="_GoBack"/>
      <w:bookmarkEnd w:id="0"/>
      <w:bookmarkEnd w:id="1"/>
      <w:r>
        <w:rPr>
          <w:rStyle w:val="extended"/>
          <w:rFonts w:ascii="Verdana" w:hAnsi="Verdana" w:cs="Arial"/>
          <w:b/>
          <w:bCs/>
          <w:kern w:val="36"/>
          <w:sz w:val="24"/>
          <w:szCs w:val="24"/>
          <w:lang w:val="en"/>
        </w:rPr>
        <w:t xml:space="preserve">Proposed </w:t>
      </w:r>
      <w:r w:rsidR="00F71C01" w:rsidRPr="00F71C01">
        <w:rPr>
          <w:rFonts w:ascii="Verdana" w:hAnsi="Verdana" w:cs="Arial"/>
          <w:b/>
          <w:bCs/>
          <w:kern w:val="36"/>
          <w:sz w:val="24"/>
          <w:szCs w:val="24"/>
          <w:lang w:val="en"/>
        </w:rPr>
        <w:t xml:space="preserve">Guidance notes for completion of </w:t>
      </w:r>
      <w:r w:rsidR="00F71C01">
        <w:rPr>
          <w:rFonts w:ascii="Verdana" w:hAnsi="Verdana" w:cs="Arial"/>
          <w:b/>
          <w:bCs/>
          <w:kern w:val="36"/>
          <w:sz w:val="24"/>
          <w:szCs w:val="24"/>
          <w:lang w:val="en"/>
        </w:rPr>
        <w:t xml:space="preserve">the quarterly </w:t>
      </w:r>
      <w:r w:rsidR="00F71C01" w:rsidRPr="00F71C01">
        <w:rPr>
          <w:rFonts w:ascii="Verdana" w:hAnsi="Verdana" w:cs="Arial"/>
          <w:b/>
          <w:bCs/>
          <w:kern w:val="36"/>
          <w:sz w:val="24"/>
          <w:szCs w:val="24"/>
          <w:lang w:val="en"/>
        </w:rPr>
        <w:t xml:space="preserve">conduct return </w:t>
      </w:r>
      <w:r w:rsidR="00F71C01">
        <w:rPr>
          <w:rFonts w:ascii="Verdana" w:hAnsi="Verdana" w:cs="Arial"/>
          <w:b/>
          <w:bCs/>
          <w:kern w:val="36"/>
          <w:sz w:val="24"/>
          <w:szCs w:val="24"/>
          <w:lang w:val="en"/>
        </w:rPr>
        <w:t>(FP</w:t>
      </w:r>
      <w:r w:rsidR="00D42273">
        <w:rPr>
          <w:rFonts w:ascii="Verdana" w:hAnsi="Verdana" w:cs="Arial"/>
          <w:b/>
          <w:bCs/>
          <w:kern w:val="36"/>
          <w:sz w:val="24"/>
          <w:szCs w:val="24"/>
          <w:lang w:val="en"/>
        </w:rPr>
        <w:t>R</w:t>
      </w:r>
      <w:r w:rsidR="00F71C01">
        <w:rPr>
          <w:rFonts w:ascii="Verdana" w:hAnsi="Verdana" w:cs="Arial"/>
          <w:b/>
          <w:bCs/>
          <w:kern w:val="36"/>
          <w:sz w:val="24"/>
          <w:szCs w:val="24"/>
          <w:lang w:val="en"/>
        </w:rPr>
        <w:t xml:space="preserve">001) </w:t>
      </w:r>
      <w:r w:rsidR="00F71C01" w:rsidRPr="00F71C01">
        <w:rPr>
          <w:rFonts w:ascii="Verdana" w:hAnsi="Verdana" w:cs="Arial"/>
          <w:b/>
          <w:bCs/>
          <w:kern w:val="36"/>
          <w:sz w:val="24"/>
          <w:szCs w:val="24"/>
          <w:lang w:val="en"/>
        </w:rPr>
        <w:t>for Funeral Plan Providers</w:t>
      </w:r>
    </w:p>
    <w:p w14:paraId="19E97D3A" w14:textId="077B8CDA" w:rsidR="00F71C01" w:rsidRPr="00871A91" w:rsidRDefault="00EC06E1">
      <w:pPr>
        <w:rPr>
          <w:rFonts w:ascii="Verdana" w:hAnsi="Verdana"/>
          <w:sz w:val="24"/>
          <w:szCs w:val="24"/>
        </w:rPr>
      </w:pPr>
      <w:r w:rsidRPr="00871A91">
        <w:rPr>
          <w:rFonts w:ascii="Verdana" w:hAnsi="Verdana"/>
          <w:sz w:val="24"/>
          <w:szCs w:val="24"/>
        </w:rPr>
        <w:t>Guidance for FP</w:t>
      </w:r>
      <w:r w:rsidR="00D42273">
        <w:rPr>
          <w:rFonts w:ascii="Verdana" w:hAnsi="Verdana"/>
          <w:sz w:val="24"/>
          <w:szCs w:val="24"/>
        </w:rPr>
        <w:t>R</w:t>
      </w:r>
      <w:r w:rsidRPr="00871A91">
        <w:rPr>
          <w:rFonts w:ascii="Verdana" w:hAnsi="Verdana"/>
          <w:sz w:val="24"/>
          <w:szCs w:val="24"/>
        </w:rPr>
        <w:t>001</w:t>
      </w:r>
    </w:p>
    <w:p w14:paraId="2D75DB7C" w14:textId="7A756B72" w:rsidR="00D17B74" w:rsidRDefault="00D17B74" w:rsidP="001C195B">
      <w:pPr>
        <w:spacing w:line="240" w:lineRule="auto"/>
        <w:jc w:val="both"/>
        <w:rPr>
          <w:rFonts w:ascii="Verdana" w:hAnsi="Verdana" w:cs="Arial"/>
          <w:sz w:val="20"/>
          <w:szCs w:val="20"/>
          <w:lang w:val="en"/>
        </w:rPr>
      </w:pPr>
      <w:r w:rsidRPr="001A3D65">
        <w:rPr>
          <w:rFonts w:ascii="Verdana" w:hAnsi="Verdana"/>
          <w:sz w:val="20"/>
          <w:szCs w:val="20"/>
        </w:rPr>
        <w:t>This data collects key information quarte</w:t>
      </w:r>
      <w:r w:rsidR="00871A91" w:rsidRPr="001A3D65">
        <w:rPr>
          <w:rFonts w:ascii="Verdana" w:hAnsi="Verdana"/>
          <w:sz w:val="20"/>
          <w:szCs w:val="20"/>
        </w:rPr>
        <w:t>rly from funeral plan providers and</w:t>
      </w:r>
      <w:r w:rsidR="00871A91" w:rsidRPr="001A3D65">
        <w:rPr>
          <w:rFonts w:ascii="Verdana" w:hAnsi="Verdana" w:cs="Arial"/>
          <w:sz w:val="20"/>
          <w:szCs w:val="20"/>
          <w:lang w:val="en"/>
        </w:rPr>
        <w:t xml:space="preserve"> provides the </w:t>
      </w:r>
      <w:hyperlink r:id="rId10" w:history="1">
        <w:r w:rsidR="00871A91" w:rsidRPr="001A3D65">
          <w:rPr>
            <w:rFonts w:ascii="Verdana" w:hAnsi="Verdana" w:cs="Arial"/>
            <w:iCs/>
            <w:sz w:val="20"/>
            <w:szCs w:val="20"/>
            <w:lang w:val="en"/>
          </w:rPr>
          <w:t>FCA</w:t>
        </w:r>
      </w:hyperlink>
      <w:r w:rsidR="00871A91" w:rsidRPr="001A3D65">
        <w:rPr>
          <w:rFonts w:ascii="Verdana" w:hAnsi="Verdana" w:cs="Arial"/>
          <w:sz w:val="20"/>
          <w:szCs w:val="20"/>
          <w:lang w:val="en"/>
        </w:rPr>
        <w:t xml:space="preserve"> with an overall picture of the size of the funeral plans market and how revenue is generated.</w:t>
      </w:r>
      <w:r w:rsidR="00C45E72" w:rsidRPr="001A3D65">
        <w:rPr>
          <w:rFonts w:ascii="Verdana" w:hAnsi="Verdana" w:cs="Arial"/>
          <w:sz w:val="20"/>
          <w:szCs w:val="20"/>
          <w:lang w:val="en"/>
        </w:rPr>
        <w:t xml:space="preserve"> The data assist</w:t>
      </w:r>
      <w:r w:rsidR="001A3D65" w:rsidRPr="001A3D65">
        <w:rPr>
          <w:rFonts w:ascii="Verdana" w:hAnsi="Verdana" w:cs="Arial"/>
          <w:sz w:val="20"/>
          <w:szCs w:val="20"/>
          <w:lang w:val="en"/>
        </w:rPr>
        <w:t>s</w:t>
      </w:r>
      <w:r w:rsidR="00C45E72" w:rsidRPr="001A3D65">
        <w:rPr>
          <w:rFonts w:ascii="Verdana" w:hAnsi="Verdana" w:cs="Arial"/>
          <w:sz w:val="20"/>
          <w:szCs w:val="20"/>
          <w:lang w:val="en"/>
        </w:rPr>
        <w:t xml:space="preserve"> the </w:t>
      </w:r>
      <w:hyperlink r:id="rId11" w:history="1">
        <w:r w:rsidR="00C45E72" w:rsidRPr="001A3D65">
          <w:rPr>
            <w:rFonts w:ascii="Verdana" w:hAnsi="Verdana" w:cs="Arial"/>
            <w:iCs/>
            <w:sz w:val="20"/>
            <w:szCs w:val="20"/>
            <w:lang w:val="en"/>
          </w:rPr>
          <w:t>FCA</w:t>
        </w:r>
      </w:hyperlink>
      <w:r w:rsidR="00C45E72" w:rsidRPr="001A3D65">
        <w:rPr>
          <w:rFonts w:ascii="Verdana" w:hAnsi="Verdana" w:cs="Arial"/>
          <w:sz w:val="20"/>
          <w:szCs w:val="20"/>
          <w:lang w:val="en"/>
        </w:rPr>
        <w:t xml:space="preserve"> in the ongoing supervision of </w:t>
      </w:r>
      <w:hyperlink r:id="rId12" w:history="1">
        <w:r w:rsidR="00C45E72" w:rsidRPr="001A3D65">
          <w:rPr>
            <w:rFonts w:ascii="Verdana" w:hAnsi="Verdana" w:cs="Arial"/>
            <w:iCs/>
            <w:sz w:val="20"/>
            <w:szCs w:val="20"/>
            <w:lang w:val="en"/>
          </w:rPr>
          <w:t>firms</w:t>
        </w:r>
      </w:hyperlink>
      <w:r w:rsidR="00C45E72" w:rsidRPr="001A3D65">
        <w:rPr>
          <w:rFonts w:ascii="Verdana" w:hAnsi="Verdana" w:cs="Arial"/>
          <w:sz w:val="20"/>
          <w:szCs w:val="20"/>
          <w:lang w:val="en"/>
        </w:rPr>
        <w:t xml:space="preserve"> engaged in </w:t>
      </w:r>
      <w:r w:rsidR="001A3D65" w:rsidRPr="001A3D65">
        <w:rPr>
          <w:rFonts w:ascii="Verdana" w:hAnsi="Verdana" w:cs="Arial"/>
          <w:sz w:val="20"/>
          <w:szCs w:val="20"/>
          <w:lang w:val="en"/>
        </w:rPr>
        <w:t xml:space="preserve">funeral plans </w:t>
      </w:r>
      <w:r w:rsidR="00C45E72" w:rsidRPr="001A3D65">
        <w:rPr>
          <w:rFonts w:ascii="Verdana" w:hAnsi="Verdana" w:cs="Arial"/>
          <w:sz w:val="20"/>
          <w:szCs w:val="20"/>
          <w:lang w:val="en"/>
        </w:rPr>
        <w:t>and enable</w:t>
      </w:r>
      <w:r w:rsidR="001A3D65" w:rsidRPr="001A3D65">
        <w:rPr>
          <w:rFonts w:ascii="Verdana" w:hAnsi="Verdana" w:cs="Arial"/>
          <w:sz w:val="20"/>
          <w:szCs w:val="20"/>
          <w:lang w:val="en"/>
        </w:rPr>
        <w:t>s</w:t>
      </w:r>
      <w:r w:rsidR="00C45E72" w:rsidRPr="001A3D65">
        <w:rPr>
          <w:rFonts w:ascii="Verdana" w:hAnsi="Verdana" w:cs="Arial"/>
          <w:sz w:val="20"/>
          <w:szCs w:val="20"/>
          <w:lang w:val="en"/>
        </w:rPr>
        <w:t xml:space="preserve"> the </w:t>
      </w:r>
      <w:hyperlink r:id="rId13" w:history="1">
        <w:r w:rsidR="00C45E72" w:rsidRPr="001A3D65">
          <w:rPr>
            <w:rFonts w:ascii="Verdana" w:hAnsi="Verdana" w:cs="Arial"/>
            <w:iCs/>
            <w:sz w:val="20"/>
            <w:szCs w:val="20"/>
            <w:lang w:val="en"/>
          </w:rPr>
          <w:t>FCA</w:t>
        </w:r>
      </w:hyperlink>
      <w:r w:rsidR="00C45E72" w:rsidRPr="001A3D65">
        <w:rPr>
          <w:rFonts w:ascii="Verdana" w:hAnsi="Verdana" w:cs="Arial"/>
          <w:sz w:val="20"/>
          <w:szCs w:val="20"/>
          <w:lang w:val="en"/>
        </w:rPr>
        <w:t xml:space="preserve"> to gain a wider understanding of market trends in the interests of protecting </w:t>
      </w:r>
      <w:hyperlink r:id="rId14" w:history="1">
        <w:r w:rsidR="00C45E72" w:rsidRPr="001A3D65">
          <w:rPr>
            <w:rFonts w:ascii="Verdana" w:hAnsi="Verdana" w:cs="Arial"/>
            <w:iCs/>
            <w:sz w:val="20"/>
            <w:szCs w:val="20"/>
            <w:lang w:val="en"/>
          </w:rPr>
          <w:t>consumers</w:t>
        </w:r>
      </w:hyperlink>
      <w:r w:rsidR="00C45E72" w:rsidRPr="001A3D65">
        <w:rPr>
          <w:rFonts w:ascii="Verdana" w:hAnsi="Verdana" w:cs="Arial"/>
          <w:sz w:val="20"/>
          <w:szCs w:val="20"/>
          <w:lang w:val="en"/>
        </w:rPr>
        <w:t>.</w:t>
      </w:r>
    </w:p>
    <w:p w14:paraId="05A7EAE1" w14:textId="681C14F0" w:rsidR="00922672" w:rsidRPr="00922672" w:rsidRDefault="00922672" w:rsidP="001C195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922672">
        <w:rPr>
          <w:rFonts w:ascii="Verdana" w:hAnsi="Verdana" w:cs="Arial"/>
          <w:sz w:val="20"/>
          <w:szCs w:val="20"/>
          <w:lang w:val="en"/>
        </w:rPr>
        <w:t xml:space="preserve">If you have undertaken no </w:t>
      </w:r>
      <w:hyperlink r:id="rId15" w:history="1">
        <w:r w:rsidRPr="00922672">
          <w:rPr>
            <w:rFonts w:ascii="Verdana" w:hAnsi="Verdana" w:cs="Arial"/>
            <w:iCs/>
            <w:sz w:val="20"/>
            <w:szCs w:val="20"/>
            <w:lang w:val="en"/>
          </w:rPr>
          <w:t xml:space="preserve">regulated </w:t>
        </w:r>
        <w:r w:rsidR="004100CE">
          <w:rPr>
            <w:rFonts w:ascii="Verdana" w:hAnsi="Verdana" w:cs="Arial"/>
            <w:iCs/>
            <w:sz w:val="20"/>
            <w:szCs w:val="20"/>
            <w:lang w:val="en"/>
          </w:rPr>
          <w:t xml:space="preserve">funeral plans </w:t>
        </w:r>
        <w:r w:rsidRPr="00922672">
          <w:rPr>
            <w:rFonts w:ascii="Verdana" w:hAnsi="Verdana" w:cs="Arial"/>
            <w:iCs/>
            <w:sz w:val="20"/>
            <w:szCs w:val="20"/>
            <w:lang w:val="en"/>
          </w:rPr>
          <w:t>activity</w:t>
        </w:r>
      </w:hyperlink>
      <w:r w:rsidRPr="00922672">
        <w:rPr>
          <w:rFonts w:ascii="Verdana" w:hAnsi="Verdana" w:cs="Arial"/>
          <w:sz w:val="20"/>
          <w:szCs w:val="20"/>
          <w:lang w:val="en"/>
        </w:rPr>
        <w:t xml:space="preserve"> during the reporting period, answer “yes” to question </w:t>
      </w:r>
      <w:r>
        <w:rPr>
          <w:rFonts w:ascii="Verdana" w:hAnsi="Verdana" w:cs="Arial"/>
          <w:sz w:val="20"/>
          <w:szCs w:val="20"/>
          <w:lang w:val="en"/>
        </w:rPr>
        <w:t>1</w:t>
      </w:r>
      <w:r w:rsidRPr="00922672">
        <w:rPr>
          <w:rFonts w:ascii="Verdana" w:hAnsi="Verdana" w:cs="Arial"/>
          <w:sz w:val="20"/>
          <w:szCs w:val="20"/>
          <w:lang w:val="en"/>
        </w:rPr>
        <w:t xml:space="preserve"> “do you wish to report a nil return?” to attest that there is no activity to report to us.</w:t>
      </w:r>
    </w:p>
    <w:p w14:paraId="36B03B76" w14:textId="77777777" w:rsidR="00D17B74" w:rsidRPr="00871A91" w:rsidRDefault="00D17B74" w:rsidP="001C195B">
      <w:pPr>
        <w:spacing w:line="240" w:lineRule="auto"/>
        <w:jc w:val="both"/>
        <w:rPr>
          <w:rFonts w:ascii="Verdana" w:hAnsi="Verdana" w:cs="Arial"/>
          <w:sz w:val="20"/>
          <w:szCs w:val="20"/>
          <w:lang w:val="en"/>
        </w:rPr>
      </w:pPr>
      <w:r w:rsidRPr="00871A91">
        <w:rPr>
          <w:rFonts w:ascii="Verdana" w:hAnsi="Verdana" w:cs="Arial"/>
          <w:sz w:val="20"/>
          <w:szCs w:val="20"/>
          <w:lang w:val="en"/>
        </w:rPr>
        <w:t>All questions requiring a monetary answer must be answered in sterling only. Figures should be reported in integers (that is, single units, to the nearest whole number), except where otherwise specified in the form: for example, income figures should be given to the nearest pound, not to the nearest thousand pounds.</w:t>
      </w:r>
    </w:p>
    <w:p w14:paraId="21E5E50D" w14:textId="7E5AF9CA" w:rsidR="008753F8" w:rsidRPr="00871A91" w:rsidRDefault="001A4C19" w:rsidP="001C195B">
      <w:pPr>
        <w:spacing w:line="240" w:lineRule="auto"/>
        <w:jc w:val="both"/>
        <w:rPr>
          <w:rFonts w:ascii="Verdana" w:hAnsi="Verdana" w:cs="Arial"/>
          <w:sz w:val="20"/>
          <w:szCs w:val="20"/>
          <w:lang w:val="en"/>
        </w:rPr>
      </w:pPr>
      <w:r>
        <w:rPr>
          <w:rFonts w:ascii="Verdana" w:hAnsi="Verdana" w:cs="Arial"/>
          <w:sz w:val="20"/>
          <w:szCs w:val="20"/>
          <w:lang w:val="en"/>
        </w:rPr>
        <w:t xml:space="preserve">Questions </w:t>
      </w:r>
      <w:r w:rsidR="004100CE">
        <w:rPr>
          <w:rFonts w:ascii="Verdana" w:hAnsi="Verdana" w:cs="Arial"/>
          <w:sz w:val="20"/>
          <w:szCs w:val="20"/>
          <w:lang w:val="en"/>
        </w:rPr>
        <w:t>2</w:t>
      </w:r>
      <w:r w:rsidR="001A3D65">
        <w:rPr>
          <w:rFonts w:ascii="Verdana" w:hAnsi="Verdana" w:cs="Arial"/>
          <w:sz w:val="20"/>
          <w:szCs w:val="20"/>
          <w:lang w:val="en"/>
        </w:rPr>
        <w:t xml:space="preserve"> to </w:t>
      </w:r>
      <w:r w:rsidR="001C195B">
        <w:rPr>
          <w:rFonts w:ascii="Verdana" w:hAnsi="Verdana" w:cs="Arial"/>
          <w:sz w:val="20"/>
          <w:szCs w:val="20"/>
          <w:lang w:val="en"/>
        </w:rPr>
        <w:t>11</w:t>
      </w:r>
      <w:r w:rsidR="001A3D65">
        <w:rPr>
          <w:rFonts w:ascii="Verdana" w:hAnsi="Verdana" w:cs="Arial"/>
          <w:sz w:val="20"/>
          <w:szCs w:val="20"/>
          <w:lang w:val="en"/>
        </w:rPr>
        <w:t xml:space="preserve"> and </w:t>
      </w:r>
      <w:r w:rsidR="001C195B">
        <w:rPr>
          <w:rFonts w:ascii="Verdana" w:hAnsi="Verdana" w:cs="Arial"/>
          <w:sz w:val="20"/>
          <w:szCs w:val="20"/>
          <w:lang w:val="en"/>
        </w:rPr>
        <w:t>15</w:t>
      </w:r>
      <w:r w:rsidR="00FC0809">
        <w:rPr>
          <w:rFonts w:ascii="Verdana" w:hAnsi="Verdana" w:cs="Arial"/>
          <w:sz w:val="20"/>
          <w:szCs w:val="20"/>
          <w:lang w:val="en"/>
        </w:rPr>
        <w:t>,</w:t>
      </w:r>
      <w:r w:rsidR="00165E92" w:rsidRPr="00871A91">
        <w:rPr>
          <w:rFonts w:ascii="Verdana" w:hAnsi="Verdana" w:cs="Arial"/>
          <w:sz w:val="20"/>
          <w:szCs w:val="20"/>
          <w:lang w:val="en"/>
        </w:rPr>
        <w:t xml:space="preserve"> </w:t>
      </w:r>
      <w:r w:rsidR="001A3D65">
        <w:rPr>
          <w:rFonts w:ascii="Verdana" w:hAnsi="Verdana" w:cs="Arial"/>
          <w:sz w:val="20"/>
          <w:szCs w:val="20"/>
          <w:lang w:val="en"/>
        </w:rPr>
        <w:t>1</w:t>
      </w:r>
      <w:r w:rsidR="001C195B">
        <w:rPr>
          <w:rFonts w:ascii="Verdana" w:hAnsi="Verdana" w:cs="Arial"/>
          <w:sz w:val="20"/>
          <w:szCs w:val="20"/>
          <w:lang w:val="en"/>
        </w:rPr>
        <w:t>9</w:t>
      </w:r>
      <w:r w:rsidR="00165E92" w:rsidRPr="00871A91">
        <w:rPr>
          <w:rFonts w:ascii="Verdana" w:hAnsi="Verdana" w:cs="Arial"/>
          <w:sz w:val="20"/>
          <w:szCs w:val="20"/>
          <w:lang w:val="en"/>
        </w:rPr>
        <w:t xml:space="preserve"> to </w:t>
      </w:r>
      <w:r w:rsidR="001C195B">
        <w:rPr>
          <w:rFonts w:ascii="Verdana" w:hAnsi="Verdana" w:cs="Arial"/>
          <w:sz w:val="20"/>
          <w:szCs w:val="20"/>
          <w:lang w:val="en"/>
        </w:rPr>
        <w:t>24</w:t>
      </w:r>
      <w:r w:rsidR="00165E92" w:rsidRPr="00871A91">
        <w:rPr>
          <w:rFonts w:ascii="Verdana" w:hAnsi="Verdana" w:cs="Arial"/>
          <w:sz w:val="20"/>
          <w:szCs w:val="20"/>
          <w:lang w:val="en"/>
        </w:rPr>
        <w:t xml:space="preserve"> </w:t>
      </w:r>
      <w:r w:rsidR="00B824FC" w:rsidRPr="00871A91">
        <w:rPr>
          <w:rFonts w:ascii="Verdana" w:hAnsi="Verdana" w:cs="Arial"/>
          <w:sz w:val="20"/>
          <w:szCs w:val="20"/>
          <w:lang w:val="en"/>
        </w:rPr>
        <w:t xml:space="preserve">do not apply to </w:t>
      </w:r>
      <w:r w:rsidR="001A3D65">
        <w:rPr>
          <w:rFonts w:ascii="Verdana" w:hAnsi="Verdana" w:cs="Arial"/>
          <w:sz w:val="20"/>
          <w:szCs w:val="20"/>
          <w:lang w:val="en"/>
        </w:rPr>
        <w:t>firms</w:t>
      </w:r>
      <w:r w:rsidR="00B824FC" w:rsidRPr="00871A91">
        <w:rPr>
          <w:rFonts w:ascii="Verdana" w:hAnsi="Verdana" w:cs="Arial"/>
          <w:sz w:val="20"/>
          <w:szCs w:val="20"/>
          <w:lang w:val="en"/>
        </w:rPr>
        <w:t xml:space="preserve"> who do not enter into funeral plan contracts, for example </w:t>
      </w:r>
      <w:r w:rsidR="00C70C4C">
        <w:rPr>
          <w:rFonts w:ascii="Verdana" w:hAnsi="Verdana" w:cs="Arial"/>
          <w:sz w:val="20"/>
          <w:szCs w:val="20"/>
          <w:lang w:val="en"/>
        </w:rPr>
        <w:t>firms</w:t>
      </w:r>
      <w:r w:rsidR="00B824FC" w:rsidRPr="00871A91">
        <w:rPr>
          <w:rFonts w:ascii="Verdana" w:hAnsi="Verdana" w:cs="Arial"/>
          <w:sz w:val="20"/>
          <w:szCs w:val="20"/>
          <w:lang w:val="en"/>
        </w:rPr>
        <w:t xml:space="preserve"> </w:t>
      </w:r>
      <w:r w:rsidR="00C04CE6">
        <w:rPr>
          <w:rFonts w:ascii="Verdana" w:hAnsi="Verdana" w:cs="Arial"/>
          <w:sz w:val="20"/>
          <w:szCs w:val="20"/>
          <w:lang w:val="en"/>
        </w:rPr>
        <w:t>that do</w:t>
      </w:r>
      <w:r w:rsidR="00871A91" w:rsidRPr="00871A91">
        <w:rPr>
          <w:rFonts w:ascii="Verdana" w:hAnsi="Verdana" w:cs="Arial"/>
          <w:sz w:val="20"/>
          <w:szCs w:val="20"/>
          <w:lang w:val="en"/>
        </w:rPr>
        <w:t xml:space="preserve"> </w:t>
      </w:r>
      <w:r w:rsidR="001A3D65">
        <w:rPr>
          <w:rFonts w:ascii="Verdana" w:hAnsi="Verdana" w:cs="Arial"/>
          <w:sz w:val="20"/>
          <w:szCs w:val="20"/>
          <w:lang w:val="en"/>
        </w:rPr>
        <w:t xml:space="preserve">not sell funeral plans </w:t>
      </w:r>
      <w:r w:rsidR="00C04CE6">
        <w:rPr>
          <w:rFonts w:ascii="Verdana" w:hAnsi="Verdana" w:cs="Arial"/>
          <w:sz w:val="20"/>
          <w:szCs w:val="20"/>
          <w:lang w:val="en"/>
        </w:rPr>
        <w:t xml:space="preserve">or have stopped </w:t>
      </w:r>
      <w:r w:rsidR="00C04CE6">
        <w:rPr>
          <w:rFonts w:ascii="Verdana" w:hAnsi="Verdana" w:cs="Calibri"/>
          <w:sz w:val="20"/>
          <w:szCs w:val="20"/>
        </w:rPr>
        <w:t xml:space="preserve">selling funeral plans but </w:t>
      </w:r>
      <w:r w:rsidR="00C04CE6" w:rsidRPr="00202DF9">
        <w:rPr>
          <w:rFonts w:ascii="Verdana" w:hAnsi="Verdana" w:cs="Calibri"/>
          <w:sz w:val="20"/>
          <w:szCs w:val="20"/>
        </w:rPr>
        <w:t>want to administer existing plans</w:t>
      </w:r>
      <w:r w:rsidR="00C04CE6">
        <w:rPr>
          <w:rFonts w:ascii="Verdana" w:hAnsi="Verdana" w:cs="Calibri"/>
          <w:sz w:val="20"/>
          <w:szCs w:val="20"/>
        </w:rPr>
        <w:t xml:space="preserve">. </w:t>
      </w:r>
    </w:p>
    <w:p w14:paraId="0B90ECA2" w14:textId="77777777" w:rsidR="008753F8" w:rsidRPr="00823404" w:rsidRDefault="008753F8">
      <w:pPr>
        <w:rPr>
          <w:rFonts w:ascii="Verdana" w:hAnsi="Verdana" w:cs="Arial"/>
          <w:sz w:val="20"/>
          <w:szCs w:val="20"/>
          <w:lang w:val="en"/>
        </w:rPr>
      </w:pPr>
      <w:r w:rsidRPr="004B3F2E">
        <w:rPr>
          <w:rFonts w:ascii="Verdana" w:hAnsi="Verdana" w:cs="Arial"/>
          <w:sz w:val="20"/>
          <w:szCs w:val="20"/>
          <w:lang w:val="en"/>
        </w:rPr>
        <w:t>Data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485"/>
      </w:tblGrid>
      <w:tr w:rsidR="008753F8" w14:paraId="07BA1FDF" w14:textId="77777777" w:rsidTr="2589F595">
        <w:tc>
          <w:tcPr>
            <w:tcW w:w="4531" w:type="dxa"/>
            <w:gridSpan w:val="2"/>
          </w:tcPr>
          <w:p w14:paraId="51D2AC36" w14:textId="77777777" w:rsidR="008753F8" w:rsidRPr="001C195B" w:rsidRDefault="008753F8" w:rsidP="00875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C195B">
              <w:rPr>
                <w:rFonts w:ascii="Verdana" w:hAnsi="Verdana"/>
                <w:sz w:val="20"/>
                <w:szCs w:val="20"/>
              </w:rPr>
              <w:t>Question</w:t>
            </w:r>
          </w:p>
          <w:p w14:paraId="1A2577A6" w14:textId="77777777" w:rsidR="00AD6797" w:rsidRPr="001C195B" w:rsidRDefault="00AD6797" w:rsidP="008753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2A6BE197" w14:textId="77777777" w:rsidR="008753F8" w:rsidRPr="001C195B" w:rsidRDefault="008753F8" w:rsidP="008753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C195B">
              <w:rPr>
                <w:rFonts w:ascii="Verdana" w:hAnsi="Verdana"/>
                <w:sz w:val="20"/>
                <w:szCs w:val="20"/>
              </w:rPr>
              <w:t>Notes</w:t>
            </w:r>
          </w:p>
        </w:tc>
      </w:tr>
      <w:tr w:rsidR="00922672" w14:paraId="43B5C765" w14:textId="77777777" w:rsidTr="2589F595">
        <w:tc>
          <w:tcPr>
            <w:tcW w:w="988" w:type="dxa"/>
          </w:tcPr>
          <w:p w14:paraId="081A9141" w14:textId="77777777" w:rsidR="00922672" w:rsidRPr="004B3F2E" w:rsidRDefault="00922672">
            <w:pPr>
              <w:rPr>
                <w:rFonts w:ascii="Verdana" w:hAnsi="Verdana"/>
                <w:sz w:val="20"/>
                <w:szCs w:val="20"/>
              </w:rPr>
            </w:pPr>
            <w:r w:rsidRPr="004B3F2E">
              <w:rPr>
                <w:rFonts w:ascii="Verdana" w:hAnsi="Verdana"/>
                <w:sz w:val="20"/>
                <w:szCs w:val="20"/>
              </w:rPr>
              <w:t>1</w:t>
            </w:r>
          </w:p>
          <w:p w14:paraId="7BB9AC4C" w14:textId="5A6FA505" w:rsidR="00922672" w:rsidRPr="004B3F2E" w:rsidRDefault="009226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F50235E" w14:textId="77777777" w:rsidR="00922672" w:rsidRDefault="00922672">
            <w:pPr>
              <w:rPr>
                <w:rFonts w:ascii="Verdana" w:hAnsi="Verdana"/>
                <w:sz w:val="20"/>
                <w:szCs w:val="20"/>
              </w:rPr>
            </w:pPr>
            <w:r w:rsidRPr="00922672">
              <w:rPr>
                <w:rFonts w:ascii="Verdana" w:hAnsi="Verdana"/>
                <w:sz w:val="20"/>
                <w:szCs w:val="20"/>
              </w:rPr>
              <w:t>Do you wish to report a nil</w:t>
            </w:r>
            <w:r>
              <w:rPr>
                <w:rFonts w:ascii="Verdana" w:hAnsi="Verdana"/>
                <w:sz w:val="20"/>
                <w:szCs w:val="20"/>
              </w:rPr>
              <w:t xml:space="preserve"> return?</w:t>
            </w:r>
          </w:p>
          <w:p w14:paraId="1D13D1E1" w14:textId="4B8BDAA7" w:rsidR="00922672" w:rsidRDefault="009226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407242B2" w14:textId="6710EE63" w:rsidR="00922672" w:rsidRDefault="00922672">
            <w:pPr>
              <w:rPr>
                <w:rFonts w:ascii="Verdana" w:hAnsi="Verdana" w:cs="Arial"/>
                <w:sz w:val="20"/>
                <w:szCs w:val="20"/>
              </w:rPr>
            </w:pPr>
            <w:r w:rsidRPr="00922672">
              <w:rPr>
                <w:rFonts w:ascii="Verdana" w:hAnsi="Verdana" w:cs="Arial"/>
                <w:sz w:val="20"/>
                <w:szCs w:val="20"/>
              </w:rPr>
              <w:t xml:space="preserve">If the firm has undertaken no regulated </w:t>
            </w:r>
            <w:r w:rsidR="004100CE">
              <w:rPr>
                <w:rFonts w:ascii="Verdana" w:hAnsi="Verdana" w:cs="Arial"/>
                <w:sz w:val="20"/>
                <w:szCs w:val="20"/>
              </w:rPr>
              <w:t xml:space="preserve">funeral plans </w:t>
            </w:r>
            <w:r w:rsidRPr="00922672">
              <w:rPr>
                <w:rFonts w:ascii="Verdana" w:hAnsi="Verdana" w:cs="Arial"/>
                <w:sz w:val="20"/>
                <w:szCs w:val="20"/>
              </w:rPr>
              <w:t>activity during this reporting period then answer “yes” and submit the form.</w:t>
            </w:r>
          </w:p>
          <w:p w14:paraId="1C67585E" w14:textId="5EDF8806" w:rsidR="00922672" w:rsidRDefault="0092267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753F8" w14:paraId="2FBFC022" w14:textId="77777777" w:rsidTr="2589F595">
        <w:tc>
          <w:tcPr>
            <w:tcW w:w="988" w:type="dxa"/>
          </w:tcPr>
          <w:p w14:paraId="17867FDE" w14:textId="6C386560" w:rsidR="008753F8" w:rsidRPr="001C195B" w:rsidRDefault="00F25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B3F2E">
              <w:rPr>
                <w:rFonts w:ascii="Verdana" w:hAnsi="Verdana"/>
                <w:sz w:val="20"/>
                <w:szCs w:val="20"/>
              </w:rPr>
              <w:t>2</w:t>
            </w:r>
            <w:r w:rsidR="00D42273" w:rsidRPr="004B3F2E">
              <w:rPr>
                <w:rFonts w:ascii="Verdana" w:hAnsi="Verdana"/>
                <w:sz w:val="20"/>
                <w:szCs w:val="20"/>
              </w:rPr>
              <w:t>-</w:t>
            </w:r>
            <w:r w:rsidR="001C195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3B07A159" w14:textId="77777777" w:rsidR="008753F8" w:rsidRDefault="009620A6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Number of a</w:t>
            </w:r>
            <w:r w:rsidRPr="009620A6">
              <w:rPr>
                <w:rFonts w:ascii="Verdana" w:hAnsi="Verdana"/>
                <w:sz w:val="20"/>
                <w:szCs w:val="20"/>
              </w:rPr>
              <w:t xml:space="preserve">ggregated sales for the </w:t>
            </w:r>
            <w:r w:rsidR="00C04CE6">
              <w:rPr>
                <w:rFonts w:ascii="Verdana" w:hAnsi="Verdana"/>
                <w:sz w:val="20"/>
                <w:szCs w:val="20"/>
              </w:rPr>
              <w:t xml:space="preserve">whole of </w:t>
            </w:r>
            <w:r w:rsidRPr="009620A6">
              <w:rPr>
                <w:rFonts w:ascii="Verdana" w:hAnsi="Verdana"/>
                <w:sz w:val="20"/>
                <w:szCs w:val="20"/>
              </w:rPr>
              <w:t xml:space="preserve">last quarter of plans made with </w:t>
            </w:r>
            <w:r w:rsidRPr="00C11C85">
              <w:rPr>
                <w:rFonts w:ascii="Verdana" w:hAnsi="Verdana"/>
                <w:i/>
                <w:sz w:val="20"/>
                <w:szCs w:val="20"/>
              </w:rPr>
              <w:t xml:space="preserve">'single payment </w:t>
            </w:r>
            <w:r w:rsidRPr="00362B27">
              <w:rPr>
                <w:rFonts w:ascii="Verdana" w:hAnsi="Verdana"/>
                <w:sz w:val="20"/>
                <w:szCs w:val="20"/>
              </w:rPr>
              <w:t xml:space="preserve">or </w:t>
            </w:r>
            <w:r w:rsidRPr="00C11C85">
              <w:rPr>
                <w:rFonts w:ascii="Verdana" w:hAnsi="Verdana"/>
                <w:i/>
                <w:sz w:val="20"/>
                <w:szCs w:val="20"/>
              </w:rPr>
              <w:t>due to be paid in less than 12 months'</w:t>
            </w:r>
            <w:r w:rsidR="00D422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14:paraId="6ED97671" w14:textId="77777777" w:rsidR="00D42273" w:rsidRDefault="00D42273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1DE43667" w14:textId="2EC5A1B5" w:rsidR="00D42273" w:rsidRDefault="00D422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707BD39" w14:textId="17DAB276" w:rsidR="00C1198D" w:rsidRDefault="00D4227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Questions </w:t>
            </w:r>
            <w:r w:rsidR="001C195B">
              <w:rPr>
                <w:rFonts w:ascii="Verdana" w:hAnsi="Verdana" w:cs="Arial"/>
                <w:sz w:val="20"/>
                <w:szCs w:val="20"/>
              </w:rPr>
              <w:t>2</w:t>
            </w:r>
            <w:r w:rsidR="004B3F2E">
              <w:rPr>
                <w:rFonts w:ascii="Verdana" w:hAnsi="Verdana" w:cs="Arial"/>
                <w:sz w:val="20"/>
                <w:szCs w:val="20"/>
              </w:rPr>
              <w:t>-4</w:t>
            </w:r>
            <w:r w:rsidR="00C1198D">
              <w:rPr>
                <w:rFonts w:ascii="Verdana" w:hAnsi="Verdana" w:cs="Arial"/>
                <w:sz w:val="20"/>
                <w:szCs w:val="20"/>
              </w:rPr>
              <w:t xml:space="preserve"> require information on sales of funeral plans made with single payment or due to be paid in less than 12 months.</w:t>
            </w:r>
          </w:p>
          <w:p w14:paraId="75B3889E" w14:textId="77777777" w:rsidR="001C195B" w:rsidRDefault="001C195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F2A8E23" w14:textId="3BFD0A18" w:rsidR="00C70C4C" w:rsidRDefault="004B3F2E">
            <w:pPr>
              <w:rPr>
                <w:rFonts w:ascii="Verdana" w:hAnsi="Verdana" w:cs="Arial"/>
                <w:sz w:val="20"/>
                <w:szCs w:val="20"/>
              </w:rPr>
            </w:pPr>
            <w:r w:rsidRPr="2589F595">
              <w:rPr>
                <w:rFonts w:ascii="Verdana" w:hAnsi="Verdana" w:cs="Arial"/>
                <w:sz w:val="20"/>
                <w:szCs w:val="20"/>
              </w:rPr>
              <w:t>Questio</w:t>
            </w:r>
            <w:r w:rsidR="00DC0419" w:rsidRPr="2589F595">
              <w:rPr>
                <w:rFonts w:ascii="Verdana" w:hAnsi="Verdana" w:cs="Arial"/>
                <w:sz w:val="20"/>
                <w:szCs w:val="20"/>
              </w:rPr>
              <w:t xml:space="preserve">ns 2-3 </w:t>
            </w:r>
            <w:r w:rsidR="00B824FC" w:rsidRPr="2589F595">
              <w:rPr>
                <w:rFonts w:ascii="Verdana" w:hAnsi="Verdana" w:cs="Arial"/>
                <w:sz w:val="20"/>
                <w:szCs w:val="20"/>
              </w:rPr>
              <w:t>ask</w:t>
            </w:r>
            <w:r w:rsidR="00C70C4C" w:rsidRPr="2589F595">
              <w:rPr>
                <w:rFonts w:ascii="Verdana" w:hAnsi="Verdana" w:cs="Arial"/>
                <w:sz w:val="20"/>
                <w:szCs w:val="20"/>
              </w:rPr>
              <w:t>s</w:t>
            </w:r>
            <w:r w:rsidR="00B824FC" w:rsidRPr="2589F595">
              <w:rPr>
                <w:rFonts w:ascii="Verdana" w:hAnsi="Verdana" w:cs="Arial"/>
                <w:sz w:val="20"/>
                <w:szCs w:val="20"/>
              </w:rPr>
              <w:t xml:space="preserve"> for the </w:t>
            </w:r>
            <w:r w:rsidR="00C70C4C" w:rsidRPr="2589F595">
              <w:rPr>
                <w:rFonts w:ascii="Verdana" w:hAnsi="Verdana" w:cs="Arial"/>
                <w:sz w:val="20"/>
                <w:szCs w:val="20"/>
              </w:rPr>
              <w:t xml:space="preserve">aggregated sales numbers to be </w:t>
            </w:r>
            <w:r w:rsidR="00B824FC" w:rsidRPr="2589F595">
              <w:rPr>
                <w:rFonts w:ascii="Verdana" w:hAnsi="Verdana" w:cs="Arial"/>
                <w:sz w:val="20"/>
                <w:szCs w:val="20"/>
              </w:rPr>
              <w:t>broken down into age bands</w:t>
            </w:r>
            <w:r w:rsidR="00C04CE6" w:rsidRPr="2589F59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62B27" w:rsidRPr="2589F595">
              <w:rPr>
                <w:rFonts w:ascii="Verdana" w:hAnsi="Verdana" w:cs="Arial"/>
                <w:sz w:val="20"/>
                <w:szCs w:val="20"/>
              </w:rPr>
              <w:t xml:space="preserve">per policyholder </w:t>
            </w:r>
            <w:r w:rsidR="00C04CE6" w:rsidRPr="2589F595">
              <w:rPr>
                <w:rFonts w:ascii="Verdana" w:hAnsi="Verdana" w:cs="Arial"/>
                <w:sz w:val="20"/>
                <w:szCs w:val="20"/>
              </w:rPr>
              <w:t>(</w:t>
            </w:r>
            <w:r w:rsidR="00565266" w:rsidRPr="2589F595">
              <w:rPr>
                <w:rFonts w:ascii="Verdana" w:hAnsi="Verdana" w:cs="Arial"/>
                <w:sz w:val="20"/>
                <w:szCs w:val="20"/>
              </w:rPr>
              <w:t>Field</w:t>
            </w:r>
            <w:r w:rsidR="00C04CE6" w:rsidRPr="2589F595">
              <w:rPr>
                <w:rFonts w:ascii="Verdana" w:hAnsi="Verdana" w:cs="Arial"/>
                <w:sz w:val="20"/>
                <w:szCs w:val="20"/>
              </w:rPr>
              <w:t>s A-H)</w:t>
            </w:r>
            <w:r w:rsidR="000270C4" w:rsidRPr="2589F595"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r w:rsidR="00AC0CC9" w:rsidRPr="2589F595">
              <w:rPr>
                <w:rFonts w:ascii="Verdana" w:hAnsi="Verdana" w:cs="Arial"/>
                <w:sz w:val="20"/>
                <w:szCs w:val="20"/>
              </w:rPr>
              <w:t xml:space="preserve">is </w:t>
            </w:r>
            <w:r w:rsidR="000270C4" w:rsidRPr="2589F595">
              <w:rPr>
                <w:rFonts w:ascii="Verdana" w:hAnsi="Verdana" w:cs="Arial"/>
                <w:sz w:val="20"/>
                <w:szCs w:val="20"/>
              </w:rPr>
              <w:t xml:space="preserve">defined by the sale of trust </w:t>
            </w:r>
            <w:r w:rsidR="009D2C69" w:rsidRPr="2589F595">
              <w:rPr>
                <w:rFonts w:ascii="Verdana" w:hAnsi="Verdana" w:cs="Arial"/>
                <w:sz w:val="20"/>
                <w:szCs w:val="20"/>
              </w:rPr>
              <w:t>backed plans</w:t>
            </w:r>
            <w:r w:rsidR="000270C4" w:rsidRPr="2589F59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70C4" w:rsidRPr="2589F595">
              <w:rPr>
                <w:rFonts w:ascii="Verdana" w:hAnsi="Verdana" w:cs="Arial"/>
                <w:i/>
                <w:iCs/>
                <w:sz w:val="20"/>
                <w:szCs w:val="20"/>
              </w:rPr>
              <w:t>or</w:t>
            </w:r>
            <w:r w:rsidR="009D2C69" w:rsidRPr="2589F59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70C4" w:rsidRPr="2589F595">
              <w:rPr>
                <w:rFonts w:ascii="Verdana" w:hAnsi="Verdana" w:cs="Arial"/>
                <w:sz w:val="20"/>
                <w:szCs w:val="20"/>
              </w:rPr>
              <w:t xml:space="preserve">insurance </w:t>
            </w:r>
            <w:r w:rsidR="009D2C69" w:rsidRPr="2589F595">
              <w:rPr>
                <w:rFonts w:ascii="Verdana" w:hAnsi="Verdana" w:cs="Arial"/>
                <w:sz w:val="20"/>
                <w:szCs w:val="20"/>
              </w:rPr>
              <w:t xml:space="preserve">backed plans. </w:t>
            </w:r>
            <w:r w:rsidR="000979AF" w:rsidRPr="2589F595">
              <w:rPr>
                <w:rFonts w:ascii="Verdana" w:hAnsi="Verdana" w:cs="Arial"/>
                <w:sz w:val="20"/>
                <w:szCs w:val="20"/>
              </w:rPr>
              <w:t>Field</w:t>
            </w:r>
            <w:r w:rsidR="00DC0419" w:rsidRPr="2589F595">
              <w:rPr>
                <w:rFonts w:ascii="Verdana" w:hAnsi="Verdana" w:cs="Arial"/>
                <w:sz w:val="20"/>
                <w:szCs w:val="20"/>
              </w:rPr>
              <w:t xml:space="preserve"> J refers to the value (£) of maximum total payments a consumer will pay over the full term of the plan. </w:t>
            </w:r>
          </w:p>
          <w:p w14:paraId="75792184" w14:textId="77777777" w:rsidR="001C195B" w:rsidRDefault="001C195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E9BB394" w14:textId="374BA65D" w:rsidR="00362B27" w:rsidRPr="00C11C85" w:rsidRDefault="0056526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Field</w:t>
            </w:r>
            <w:r w:rsidR="00AC0CC9">
              <w:rPr>
                <w:rFonts w:ascii="Verdana" w:hAnsi="Verdana" w:cs="Arial"/>
                <w:sz w:val="20"/>
                <w:szCs w:val="20"/>
              </w:rPr>
              <w:t>s</w:t>
            </w:r>
            <w:r w:rsidR="00362B27" w:rsidRPr="00C11C85">
              <w:rPr>
                <w:rFonts w:ascii="Verdana" w:hAnsi="Verdana" w:cs="Arial"/>
                <w:sz w:val="20"/>
                <w:szCs w:val="20"/>
              </w:rPr>
              <w:t xml:space="preserve"> K</w:t>
            </w:r>
            <w:r w:rsidR="008E1F80" w:rsidRPr="00C11C85">
              <w:rPr>
                <w:rFonts w:ascii="Verdana" w:hAnsi="Verdana" w:cs="Arial"/>
                <w:sz w:val="20"/>
                <w:szCs w:val="20"/>
              </w:rPr>
              <w:t>-L</w:t>
            </w:r>
            <w:r w:rsidR="00362B27" w:rsidRPr="00C11C85">
              <w:rPr>
                <w:rFonts w:ascii="Verdana" w:hAnsi="Verdana" w:cs="Arial"/>
                <w:sz w:val="20"/>
                <w:szCs w:val="20"/>
              </w:rPr>
              <w:t xml:space="preserve"> refer to the method of sale. </w:t>
            </w:r>
          </w:p>
          <w:p w14:paraId="0644E699" w14:textId="104C2AAC" w:rsidR="000270C4" w:rsidRPr="00C11C85" w:rsidRDefault="00565266" w:rsidP="000270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Field</w:t>
            </w:r>
            <w:r w:rsidR="000270C4" w:rsidRPr="00C11C85">
              <w:rPr>
                <w:rFonts w:ascii="Verdana" w:hAnsi="Verdana" w:cs="Arial"/>
                <w:sz w:val="20"/>
                <w:szCs w:val="20"/>
              </w:rPr>
              <w:t xml:space="preserve"> K requires the total </w:t>
            </w:r>
            <w:r w:rsidR="00DC0419">
              <w:rPr>
                <w:rFonts w:ascii="Verdana" w:hAnsi="Verdana" w:cs="Arial"/>
                <w:sz w:val="20"/>
                <w:szCs w:val="20"/>
              </w:rPr>
              <w:t>(</w:t>
            </w:r>
            <w:r w:rsidR="000979AF">
              <w:rPr>
                <w:rFonts w:ascii="Verdana" w:hAnsi="Verdana" w:cs="Arial"/>
                <w:sz w:val="20"/>
                <w:szCs w:val="20"/>
              </w:rPr>
              <w:t>%</w:t>
            </w:r>
            <w:r w:rsidR="00DC0419">
              <w:rPr>
                <w:rFonts w:ascii="Verdana" w:hAnsi="Verdana" w:cs="Arial"/>
                <w:sz w:val="20"/>
                <w:szCs w:val="20"/>
              </w:rPr>
              <w:t>)</w:t>
            </w:r>
            <w:r w:rsidR="000979AF"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r w:rsidR="000270C4" w:rsidRPr="00C11C85">
              <w:rPr>
                <w:rFonts w:ascii="Verdana" w:hAnsi="Verdana" w:cs="Arial"/>
                <w:sz w:val="20"/>
                <w:szCs w:val="20"/>
              </w:rPr>
              <w:t xml:space="preserve">sales achieved via the provision of regulated advice at the point of sale. </w:t>
            </w:r>
            <w:r>
              <w:rPr>
                <w:rFonts w:ascii="Verdana" w:hAnsi="Verdana" w:cs="Arial"/>
                <w:sz w:val="20"/>
                <w:szCs w:val="20"/>
              </w:rPr>
              <w:t>Field</w:t>
            </w:r>
            <w:r w:rsidR="000270C4" w:rsidRPr="00C11C85">
              <w:rPr>
                <w:rFonts w:ascii="Verdana" w:hAnsi="Verdana" w:cs="Arial"/>
                <w:sz w:val="20"/>
                <w:szCs w:val="20"/>
              </w:rPr>
              <w:t xml:space="preserve"> L requires the total</w:t>
            </w:r>
            <w:r w:rsidR="000979A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C0419">
              <w:rPr>
                <w:rFonts w:ascii="Verdana" w:hAnsi="Verdana" w:cs="Arial"/>
                <w:sz w:val="20"/>
                <w:szCs w:val="20"/>
              </w:rPr>
              <w:t>(</w:t>
            </w:r>
            <w:r w:rsidR="000979AF">
              <w:rPr>
                <w:rFonts w:ascii="Verdana" w:hAnsi="Verdana" w:cs="Arial"/>
                <w:sz w:val="20"/>
                <w:szCs w:val="20"/>
              </w:rPr>
              <w:t>%</w:t>
            </w:r>
            <w:r w:rsidR="00DC0419">
              <w:rPr>
                <w:rFonts w:ascii="Verdana" w:hAnsi="Verdana" w:cs="Arial"/>
                <w:sz w:val="20"/>
                <w:szCs w:val="20"/>
              </w:rPr>
              <w:t>)</w:t>
            </w:r>
            <w:r w:rsidR="000979AF">
              <w:rPr>
                <w:rFonts w:ascii="Verdana" w:hAnsi="Verdana" w:cs="Arial"/>
                <w:sz w:val="20"/>
                <w:szCs w:val="20"/>
              </w:rPr>
              <w:t xml:space="preserve"> of</w:t>
            </w:r>
            <w:r w:rsidR="000270C4" w:rsidRPr="00C11C85">
              <w:rPr>
                <w:rFonts w:ascii="Verdana" w:hAnsi="Verdana" w:cs="Arial"/>
                <w:sz w:val="20"/>
                <w:szCs w:val="20"/>
              </w:rPr>
              <w:t xml:space="preserve"> sales achieved via the provision of non-regulated advice. </w:t>
            </w:r>
          </w:p>
          <w:p w14:paraId="1C4F270B" w14:textId="77777777" w:rsidR="00362B27" w:rsidRDefault="00362B27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  <w:p w14:paraId="5CF45932" w14:textId="0A803400" w:rsidR="0024238B" w:rsidRDefault="00565266" w:rsidP="00C11C8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Field</w:t>
            </w:r>
            <w:r w:rsidR="0024238B">
              <w:rPr>
                <w:rFonts w:ascii="Verdana" w:hAnsi="Verdana" w:cs="Calibri"/>
                <w:sz w:val="20"/>
                <w:szCs w:val="20"/>
              </w:rPr>
              <w:t>s</w:t>
            </w:r>
            <w:r w:rsidR="00C04CE6">
              <w:rPr>
                <w:rFonts w:ascii="Verdana" w:hAnsi="Verdana" w:cs="Calibri"/>
                <w:sz w:val="20"/>
                <w:szCs w:val="20"/>
              </w:rPr>
              <w:t xml:space="preserve"> M</w:t>
            </w:r>
            <w:r w:rsidR="0024238B">
              <w:rPr>
                <w:rFonts w:ascii="Verdana" w:hAnsi="Verdana" w:cs="Calibri"/>
                <w:sz w:val="20"/>
                <w:szCs w:val="20"/>
              </w:rPr>
              <w:t>-P refer to the sale distribution channel</w:t>
            </w:r>
            <w:r w:rsidR="000979AF">
              <w:rPr>
                <w:rFonts w:ascii="Verdana" w:hAnsi="Verdana" w:cs="Calibri"/>
                <w:sz w:val="20"/>
                <w:szCs w:val="20"/>
              </w:rPr>
              <w:t xml:space="preserve"> by monetary value (£).</w:t>
            </w:r>
          </w:p>
          <w:p w14:paraId="250EBE77" w14:textId="2FFDBC58" w:rsidR="00C04CE6" w:rsidRDefault="00565266" w:rsidP="001C195B">
            <w:pPr>
              <w:pStyle w:val="NormalWeb"/>
              <w:spacing w:before="240" w:beforeAutospacing="0" w:after="240" w:afterAutospacing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>Field</w:t>
            </w:r>
            <w:r w:rsidR="0024238B">
              <w:rPr>
                <w:rFonts w:ascii="Verdana" w:hAnsi="Verdana" w:cs="Calibri"/>
                <w:sz w:val="20"/>
                <w:szCs w:val="20"/>
              </w:rPr>
              <w:t xml:space="preserve"> M </w:t>
            </w:r>
            <w:r w:rsidR="00C04CE6">
              <w:rPr>
                <w:rFonts w:ascii="Verdana" w:hAnsi="Verdana" w:cs="Calibri"/>
                <w:sz w:val="20"/>
                <w:szCs w:val="20"/>
              </w:rPr>
              <w:t>requires the total sales by Authorised Intermediaries. I</w:t>
            </w:r>
            <w:r w:rsidR="00C04CE6" w:rsidRPr="008F3B29">
              <w:rPr>
                <w:rFonts w:ascii="Verdana" w:hAnsi="Verdana" w:cs="Calibri"/>
                <w:sz w:val="20"/>
                <w:szCs w:val="20"/>
              </w:rPr>
              <w:t>ntermediaries</w:t>
            </w:r>
            <w:r w:rsidR="00C04CE6">
              <w:rPr>
                <w:rFonts w:ascii="Verdana" w:hAnsi="Verdana" w:cs="Calibri"/>
                <w:sz w:val="20"/>
                <w:szCs w:val="20"/>
              </w:rPr>
              <w:t xml:space="preserve"> are firms that </w:t>
            </w:r>
            <w:r w:rsidR="00C04CE6" w:rsidRPr="008F3B29">
              <w:rPr>
                <w:rFonts w:ascii="Verdana" w:hAnsi="Verdana" w:cs="Calibri"/>
                <w:sz w:val="20"/>
                <w:szCs w:val="20"/>
              </w:rPr>
              <w:t xml:space="preserve">advise </w:t>
            </w:r>
            <w:r w:rsidR="00C04CE6">
              <w:rPr>
                <w:rFonts w:ascii="Verdana" w:hAnsi="Verdana" w:cs="Calibri"/>
                <w:sz w:val="20"/>
                <w:szCs w:val="20"/>
              </w:rPr>
              <w:t xml:space="preserve">on and/or arrange </w:t>
            </w:r>
            <w:r w:rsidR="00C04CE6" w:rsidRPr="008F3B29">
              <w:rPr>
                <w:rFonts w:ascii="Verdana" w:hAnsi="Verdana" w:cs="Calibri"/>
                <w:sz w:val="20"/>
                <w:szCs w:val="20"/>
              </w:rPr>
              <w:t>funeral plan contracts for customers</w:t>
            </w:r>
            <w:r w:rsidR="00C04CE6">
              <w:rPr>
                <w:rFonts w:ascii="Verdana" w:hAnsi="Verdana" w:cs="Calibri"/>
                <w:sz w:val="20"/>
                <w:szCs w:val="20"/>
              </w:rPr>
              <w:t xml:space="preserve">.  Examples include </w:t>
            </w:r>
            <w:r w:rsidR="00C04CE6" w:rsidRPr="008F3B29">
              <w:rPr>
                <w:rFonts w:ascii="Verdana" w:hAnsi="Verdana" w:cs="Calibri"/>
                <w:sz w:val="20"/>
                <w:szCs w:val="20"/>
              </w:rPr>
              <w:t>funeral directors and</w:t>
            </w:r>
            <w:r w:rsidR="00C04CE6">
              <w:rPr>
                <w:rFonts w:ascii="Verdana" w:hAnsi="Verdana" w:cs="Calibri"/>
                <w:sz w:val="20"/>
                <w:szCs w:val="20"/>
              </w:rPr>
              <w:t xml:space="preserve"> will-</w:t>
            </w:r>
            <w:r w:rsidR="00C04CE6" w:rsidRPr="008F3B29">
              <w:rPr>
                <w:rFonts w:ascii="Verdana" w:hAnsi="Verdana" w:cs="Calibri"/>
                <w:sz w:val="20"/>
                <w:szCs w:val="20"/>
              </w:rPr>
              <w:t>writers</w:t>
            </w:r>
            <w:r w:rsidR="00C04CE6">
              <w:rPr>
                <w:rFonts w:ascii="Verdana" w:hAnsi="Verdana" w:cs="Calibri"/>
                <w:sz w:val="20"/>
                <w:szCs w:val="20"/>
              </w:rPr>
              <w:t>.</w:t>
            </w:r>
            <w:r w:rsidR="00C04CE6" w:rsidRPr="008F3B2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41AD92E7" w14:textId="0E913585" w:rsidR="00BA7E7C" w:rsidRDefault="00565266" w:rsidP="00C04CE6">
            <w:pPr>
              <w:pStyle w:val="NormalWeb"/>
              <w:spacing w:before="240" w:beforeAutospacing="0" w:after="240" w:afterAutospacing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Field</w:t>
            </w:r>
            <w:r w:rsidR="00BA7E7C">
              <w:rPr>
                <w:rFonts w:ascii="Verdana" w:hAnsi="Verdana" w:cs="Calibri"/>
                <w:sz w:val="20"/>
                <w:szCs w:val="20"/>
              </w:rPr>
              <w:t xml:space="preserve"> N </w:t>
            </w:r>
            <w:r w:rsidR="0024238B">
              <w:rPr>
                <w:rFonts w:ascii="Verdana" w:hAnsi="Verdana" w:cs="Calibri"/>
                <w:sz w:val="20"/>
                <w:szCs w:val="20"/>
              </w:rPr>
              <w:t>requires the total sales made directly by the regulated funeral plan provider.</w:t>
            </w:r>
          </w:p>
          <w:p w14:paraId="3AE9802F" w14:textId="7BFE43B3" w:rsidR="00BA7E7C" w:rsidRDefault="00565266" w:rsidP="00C04CE6">
            <w:pPr>
              <w:pStyle w:val="NormalWeb"/>
              <w:spacing w:before="240" w:beforeAutospacing="0" w:after="240" w:afterAutospacing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Field</w:t>
            </w:r>
            <w:r w:rsidR="00BA7E7C">
              <w:rPr>
                <w:rFonts w:ascii="Verdana" w:hAnsi="Verdana" w:cs="Calibri"/>
                <w:sz w:val="20"/>
                <w:szCs w:val="20"/>
              </w:rPr>
              <w:t xml:space="preserve"> O</w:t>
            </w:r>
            <w:r w:rsidR="0024238B">
              <w:rPr>
                <w:rFonts w:ascii="Verdana" w:hAnsi="Verdana" w:cs="Calibri"/>
                <w:sz w:val="20"/>
                <w:szCs w:val="20"/>
              </w:rPr>
              <w:t xml:space="preserve"> requires the total sales made by Appointed Representatives whereby the funeral plan provider acts as the registered Principal. </w:t>
            </w:r>
            <w:r w:rsidR="002F2783">
              <w:rPr>
                <w:rFonts w:ascii="Verdana" w:hAnsi="Verdana" w:cs="Calibri"/>
                <w:sz w:val="20"/>
                <w:szCs w:val="20"/>
              </w:rPr>
              <w:t xml:space="preserve">An Appointed Representative is a firm or person that carries out regulated activities and acts as an agent for the directly authorised funeral plan provider (“Principle”). </w:t>
            </w:r>
          </w:p>
          <w:p w14:paraId="2AE763DE" w14:textId="69CB952B" w:rsidR="00B824FC" w:rsidRDefault="00565266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Field</w:t>
            </w:r>
            <w:r w:rsidR="0024238B">
              <w:rPr>
                <w:rFonts w:ascii="Verdana" w:hAnsi="Verdana" w:cs="Calibri"/>
                <w:sz w:val="20"/>
                <w:szCs w:val="20"/>
              </w:rPr>
              <w:t xml:space="preserve"> P requires the total sales by Appointed Representatives whereby an </w:t>
            </w:r>
            <w:r w:rsidR="001C195B">
              <w:rPr>
                <w:rFonts w:ascii="Verdana" w:hAnsi="Verdana" w:cs="Calibri"/>
                <w:sz w:val="20"/>
                <w:szCs w:val="20"/>
              </w:rPr>
              <w:t>intermediary or other third-party act</w:t>
            </w:r>
            <w:r w:rsidR="0024238B">
              <w:rPr>
                <w:rFonts w:ascii="Verdana" w:hAnsi="Verdana" w:cs="Calibri"/>
                <w:sz w:val="20"/>
                <w:szCs w:val="20"/>
              </w:rPr>
              <w:t xml:space="preserve"> as the registered Principal. </w:t>
            </w:r>
            <w:r w:rsidR="0024238B" w:rsidDel="0024238B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2324E950" w14:textId="5A17693E" w:rsidR="00031F97" w:rsidRDefault="00031F97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09EEF87E" w14:textId="76F3A07D" w:rsidR="008753F8" w:rsidRPr="00B824FC" w:rsidRDefault="00031F97" w:rsidP="001C19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Question </w:t>
            </w:r>
            <w:r w:rsidR="001C195B">
              <w:rPr>
                <w:rFonts w:ascii="Verdana" w:hAnsi="Verdana" w:cs="Calibri"/>
                <w:sz w:val="20"/>
                <w:szCs w:val="20"/>
              </w:rPr>
              <w:t>4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0979AF">
              <w:rPr>
                <w:rFonts w:ascii="Verdana" w:hAnsi="Verdana" w:cs="Calibri"/>
                <w:sz w:val="20"/>
                <w:szCs w:val="20"/>
              </w:rPr>
              <w:t>requires</w:t>
            </w:r>
            <w:r w:rsidR="001C195B">
              <w:rPr>
                <w:rFonts w:ascii="Verdana" w:hAnsi="Verdana" w:cs="Calibri"/>
                <w:sz w:val="20"/>
                <w:szCs w:val="20"/>
              </w:rPr>
              <w:t xml:space="preserve"> the total values across all fields A-P (relevant to the unit required under each field).</w:t>
            </w:r>
          </w:p>
        </w:tc>
      </w:tr>
      <w:tr w:rsidR="008753F8" w14:paraId="3BB134BB" w14:textId="77777777" w:rsidTr="2589F595">
        <w:tc>
          <w:tcPr>
            <w:tcW w:w="988" w:type="dxa"/>
          </w:tcPr>
          <w:p w14:paraId="6A3AA154" w14:textId="6C308C92" w:rsidR="008753F8" w:rsidRDefault="00031F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  <w:r w:rsidR="001A4C19">
              <w:rPr>
                <w:rFonts w:ascii="Verdana" w:hAnsi="Verdana"/>
                <w:sz w:val="20"/>
                <w:szCs w:val="20"/>
              </w:rPr>
              <w:t>-6</w:t>
            </w:r>
          </w:p>
        </w:tc>
        <w:tc>
          <w:tcPr>
            <w:tcW w:w="3543" w:type="dxa"/>
          </w:tcPr>
          <w:p w14:paraId="36C97C42" w14:textId="2D8D3024" w:rsidR="008753F8" w:rsidRPr="001C195B" w:rsidRDefault="00C11C85" w:rsidP="00DC0419">
            <w:pPr>
              <w:rPr>
                <w:rFonts w:ascii="Verdana" w:hAnsi="Verdana"/>
                <w:i/>
                <w:sz w:val="20"/>
                <w:szCs w:val="20"/>
              </w:rPr>
            </w:pPr>
            <w:r w:rsidRPr="00C11C85">
              <w:rPr>
                <w:rFonts w:ascii="Verdana" w:hAnsi="Verdana"/>
                <w:sz w:val="20"/>
                <w:szCs w:val="20"/>
              </w:rPr>
              <w:t xml:space="preserve">Please provide the details of the top 5 firms of </w:t>
            </w:r>
            <w:r w:rsidR="001C195B">
              <w:rPr>
                <w:rFonts w:ascii="Verdana" w:hAnsi="Verdana"/>
                <w:sz w:val="20"/>
                <w:szCs w:val="20"/>
              </w:rPr>
              <w:t xml:space="preserve">these sales </w:t>
            </w:r>
            <w:r w:rsidRPr="00C11C85">
              <w:rPr>
                <w:rFonts w:ascii="Verdana" w:hAnsi="Verdana"/>
                <w:sz w:val="20"/>
                <w:szCs w:val="20"/>
              </w:rPr>
              <w:t>(either Appointed Representatives, directly Authorised intermediaries, or unregulated introducers)</w:t>
            </w:r>
            <w:r w:rsidR="00031F9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CB97766" w14:textId="2C0D69C6" w:rsidR="00031F97" w:rsidRDefault="00031F97">
            <w:pPr>
              <w:rPr>
                <w:rFonts w:ascii="Verdana" w:hAnsi="Verdana"/>
                <w:sz w:val="20"/>
                <w:szCs w:val="20"/>
              </w:rPr>
            </w:pPr>
          </w:p>
          <w:p w14:paraId="199FA141" w14:textId="1BFA09AA" w:rsidR="00031F97" w:rsidRDefault="00031F97">
            <w:pPr>
              <w:rPr>
                <w:rFonts w:ascii="Verdana" w:hAnsi="Verdana"/>
                <w:sz w:val="20"/>
                <w:szCs w:val="20"/>
              </w:rPr>
            </w:pPr>
          </w:p>
          <w:p w14:paraId="664C1092" w14:textId="6AB0D3C7" w:rsidR="00031F97" w:rsidRDefault="00031F97" w:rsidP="001A4C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72290D73" w14:textId="30D25D92" w:rsidR="00FC0809" w:rsidRDefault="00FC43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provide the top five firms by volume of sales</w:t>
            </w:r>
            <w:r w:rsidR="001A4C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C195B">
              <w:rPr>
                <w:rFonts w:ascii="Verdana" w:hAnsi="Verdana"/>
                <w:sz w:val="20"/>
                <w:szCs w:val="20"/>
              </w:rPr>
              <w:t>broken down</w:t>
            </w:r>
            <w:r w:rsidR="001A4C19">
              <w:rPr>
                <w:rFonts w:ascii="Verdana" w:hAnsi="Verdana"/>
                <w:sz w:val="20"/>
                <w:szCs w:val="20"/>
              </w:rPr>
              <w:t xml:space="preserve"> by</w:t>
            </w:r>
            <w:r>
              <w:rPr>
                <w:rFonts w:ascii="Verdana" w:hAnsi="Verdana"/>
                <w:sz w:val="20"/>
                <w:szCs w:val="20"/>
              </w:rPr>
              <w:t xml:space="preserve"> trust backed funeral plans</w:t>
            </w:r>
            <w:r w:rsidR="000979AF">
              <w:rPr>
                <w:rFonts w:ascii="Verdana" w:hAnsi="Verdana"/>
                <w:sz w:val="20"/>
                <w:szCs w:val="20"/>
              </w:rPr>
              <w:t xml:space="preserve"> (question 5)</w:t>
            </w:r>
            <w:r>
              <w:rPr>
                <w:rFonts w:ascii="Verdana" w:hAnsi="Verdana"/>
                <w:sz w:val="20"/>
                <w:szCs w:val="20"/>
              </w:rPr>
              <w:t xml:space="preserve"> and</w:t>
            </w:r>
            <w:r w:rsidR="001D19F1">
              <w:rPr>
                <w:rFonts w:ascii="Verdana" w:hAnsi="Verdana"/>
                <w:sz w:val="20"/>
                <w:szCs w:val="20"/>
              </w:rPr>
              <w:t>/or</w:t>
            </w:r>
            <w:r>
              <w:rPr>
                <w:rFonts w:ascii="Verdana" w:hAnsi="Verdana"/>
                <w:sz w:val="20"/>
                <w:szCs w:val="20"/>
              </w:rPr>
              <w:t xml:space="preserve"> insurance backed plans</w:t>
            </w:r>
            <w:r w:rsidR="000979AF">
              <w:rPr>
                <w:rFonts w:ascii="Verdana" w:hAnsi="Verdana"/>
                <w:sz w:val="20"/>
                <w:szCs w:val="20"/>
              </w:rPr>
              <w:t xml:space="preserve"> (question 6)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="00C1198D">
              <w:rPr>
                <w:rFonts w:ascii="Verdana" w:hAnsi="Verdana"/>
                <w:sz w:val="20"/>
                <w:szCs w:val="20"/>
              </w:rPr>
              <w:t xml:space="preserve">This includes sales by </w:t>
            </w:r>
            <w:r w:rsidR="00C1198D" w:rsidRPr="00C1198D">
              <w:rPr>
                <w:rFonts w:ascii="Verdana" w:hAnsi="Verdana"/>
                <w:sz w:val="20"/>
                <w:szCs w:val="20"/>
              </w:rPr>
              <w:t>either Appointed Representatives, directly Authorised intermediaries, or unregulated introducers</w:t>
            </w:r>
            <w:r w:rsidR="00C1198D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093B12C4" w14:textId="77777777" w:rsidR="00FC0809" w:rsidRDefault="00FC0809">
            <w:pPr>
              <w:rPr>
                <w:rFonts w:ascii="Verdana" w:hAnsi="Verdana"/>
                <w:sz w:val="20"/>
                <w:szCs w:val="20"/>
              </w:rPr>
            </w:pPr>
          </w:p>
          <w:p w14:paraId="0F2490F3" w14:textId="3ED4EAA8" w:rsidR="00FC4335" w:rsidRDefault="00C119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sales of both trust backed and insurance backed funeral plans took place in the reporting period, provide the top five firms for each product. </w:t>
            </w:r>
          </w:p>
          <w:p w14:paraId="08D980F0" w14:textId="77777777" w:rsidR="00FC4335" w:rsidRDefault="00FC4335">
            <w:pPr>
              <w:rPr>
                <w:rFonts w:ascii="Verdana" w:hAnsi="Verdana"/>
                <w:sz w:val="20"/>
                <w:szCs w:val="20"/>
              </w:rPr>
            </w:pPr>
          </w:p>
          <w:p w14:paraId="1B3435AE" w14:textId="1E42F8F9" w:rsidR="00FC4335" w:rsidRDefault="000979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Field</w:t>
            </w:r>
            <w:r w:rsidR="006A19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3E6D">
              <w:rPr>
                <w:rFonts w:ascii="Verdana" w:hAnsi="Verdana"/>
                <w:sz w:val="20"/>
                <w:szCs w:val="20"/>
              </w:rPr>
              <w:t xml:space="preserve">B refers to </w:t>
            </w:r>
            <w:r w:rsidR="00FC4335">
              <w:rPr>
                <w:rFonts w:ascii="Verdana" w:hAnsi="Verdana"/>
                <w:sz w:val="20"/>
                <w:szCs w:val="20"/>
              </w:rPr>
              <w:t>the firm reference number (FRN) of the firm that sold the product.</w:t>
            </w:r>
            <w:r w:rsidR="00FF3E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0C4C">
              <w:rPr>
                <w:rFonts w:ascii="Verdana" w:hAnsi="Verdana"/>
                <w:sz w:val="20"/>
                <w:szCs w:val="20"/>
              </w:rPr>
              <w:t>For sales via an intermedia</w:t>
            </w:r>
            <w:r w:rsidR="00397D02">
              <w:rPr>
                <w:rFonts w:ascii="Verdana" w:hAnsi="Verdana"/>
                <w:sz w:val="20"/>
                <w:szCs w:val="20"/>
              </w:rPr>
              <w:t>ry enter the intermediaries FRN. Where the intermediary is an Appointed Representative, the FRN of the Appointed R</w:t>
            </w:r>
            <w:r w:rsidR="00C04CE6">
              <w:rPr>
                <w:rFonts w:ascii="Verdana" w:hAnsi="Verdana"/>
                <w:sz w:val="20"/>
                <w:szCs w:val="20"/>
              </w:rPr>
              <w:t>e</w:t>
            </w:r>
            <w:r w:rsidR="00397D02">
              <w:rPr>
                <w:rFonts w:ascii="Verdana" w:hAnsi="Verdana"/>
                <w:sz w:val="20"/>
                <w:szCs w:val="20"/>
              </w:rPr>
              <w:t>presentative must be reported</w:t>
            </w:r>
            <w:r w:rsidR="00C04CE6">
              <w:rPr>
                <w:rFonts w:ascii="Verdana" w:hAnsi="Verdana"/>
                <w:sz w:val="20"/>
                <w:szCs w:val="20"/>
              </w:rPr>
              <w:t>.</w:t>
            </w:r>
            <w:r w:rsidR="00C70C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C4335">
              <w:rPr>
                <w:rFonts w:ascii="Verdana" w:hAnsi="Verdana"/>
                <w:sz w:val="20"/>
                <w:szCs w:val="20"/>
              </w:rPr>
              <w:t>Unregulated introducers will not have a FRN.</w:t>
            </w:r>
            <w:r w:rsidR="00C70C4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CFC1A6B" w14:textId="77777777" w:rsidR="00FC4335" w:rsidRDefault="00FC4335">
            <w:pPr>
              <w:rPr>
                <w:rFonts w:ascii="Verdana" w:hAnsi="Verdana"/>
                <w:sz w:val="20"/>
                <w:szCs w:val="20"/>
              </w:rPr>
            </w:pPr>
          </w:p>
          <w:p w14:paraId="2E8E5C47" w14:textId="0A562647" w:rsidR="00C1198D" w:rsidRDefault="00DC0419" w:rsidP="00C119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Field</w:t>
            </w:r>
            <w:r w:rsidR="006A19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1198D">
              <w:rPr>
                <w:rFonts w:ascii="Verdana" w:hAnsi="Verdana"/>
                <w:sz w:val="20"/>
                <w:szCs w:val="20"/>
              </w:rPr>
              <w:t xml:space="preserve">F refers to the type of distribution. </w:t>
            </w:r>
            <w:r w:rsidR="00C1198D" w:rsidRPr="00B824FC">
              <w:rPr>
                <w:rFonts w:ascii="Arial" w:hAnsi="Arial" w:cs="Arial"/>
                <w:sz w:val="21"/>
                <w:szCs w:val="21"/>
              </w:rPr>
              <w:t>D</w:t>
            </w:r>
            <w:r w:rsidR="00C1198D" w:rsidRPr="00B824FC">
              <w:rPr>
                <w:rFonts w:ascii="Verdana" w:hAnsi="Verdana" w:cs="Arial"/>
                <w:sz w:val="20"/>
                <w:szCs w:val="20"/>
              </w:rPr>
              <w:t>istribution should be reported under the following categories:</w:t>
            </w:r>
            <w:r w:rsidR="00C1198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1198D" w:rsidRPr="00C1198D">
              <w:rPr>
                <w:rFonts w:ascii="Verdana" w:hAnsi="Verdana"/>
                <w:sz w:val="20"/>
                <w:szCs w:val="20"/>
              </w:rPr>
              <w:t>Appointed Representatives</w:t>
            </w:r>
            <w:r w:rsidR="00C1198D">
              <w:rPr>
                <w:rFonts w:ascii="Verdana" w:hAnsi="Verdana"/>
                <w:sz w:val="20"/>
                <w:szCs w:val="20"/>
              </w:rPr>
              <w:t>;</w:t>
            </w:r>
            <w:r w:rsidR="00AC0CC9">
              <w:rPr>
                <w:rFonts w:ascii="Verdana" w:hAnsi="Verdana"/>
                <w:sz w:val="20"/>
                <w:szCs w:val="20"/>
              </w:rPr>
              <w:t xml:space="preserve"> directly Authorised </w:t>
            </w:r>
            <w:r w:rsidR="00AC0CC9">
              <w:rPr>
                <w:rFonts w:ascii="Verdana" w:hAnsi="Verdana"/>
                <w:sz w:val="20"/>
                <w:szCs w:val="20"/>
              </w:rPr>
              <w:lastRenderedPageBreak/>
              <w:t>I</w:t>
            </w:r>
            <w:r w:rsidR="00C1198D" w:rsidRPr="00C1198D">
              <w:rPr>
                <w:rFonts w:ascii="Verdana" w:hAnsi="Verdana"/>
                <w:sz w:val="20"/>
                <w:szCs w:val="20"/>
              </w:rPr>
              <w:t>ntermediaries</w:t>
            </w:r>
            <w:r w:rsidR="00C1198D">
              <w:rPr>
                <w:rFonts w:ascii="Verdana" w:hAnsi="Verdana"/>
                <w:sz w:val="20"/>
                <w:szCs w:val="20"/>
              </w:rPr>
              <w:t>;</w:t>
            </w:r>
            <w:r w:rsidR="00C1198D" w:rsidRPr="00C1198D">
              <w:rPr>
                <w:rFonts w:ascii="Verdana" w:hAnsi="Verdana"/>
                <w:sz w:val="20"/>
                <w:szCs w:val="20"/>
              </w:rPr>
              <w:t xml:space="preserve"> or unregulated introducers</w:t>
            </w:r>
            <w:r w:rsidR="00C1198D">
              <w:rPr>
                <w:rFonts w:ascii="Verdana" w:hAnsi="Verdana"/>
                <w:sz w:val="20"/>
                <w:szCs w:val="20"/>
              </w:rPr>
              <w:t>.</w:t>
            </w:r>
          </w:p>
          <w:p w14:paraId="2676EEBB" w14:textId="77777777" w:rsidR="008753F8" w:rsidRDefault="008753F8" w:rsidP="00C119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3F8" w14:paraId="5BCB944B" w14:textId="77777777" w:rsidTr="2589F595">
        <w:tc>
          <w:tcPr>
            <w:tcW w:w="988" w:type="dxa"/>
          </w:tcPr>
          <w:p w14:paraId="4DFEB462" w14:textId="0AD3E88A" w:rsidR="00DC0419" w:rsidRDefault="00DC0419">
            <w:pPr>
              <w:rPr>
                <w:rFonts w:ascii="Verdana" w:hAnsi="Verdana"/>
                <w:sz w:val="20"/>
                <w:szCs w:val="20"/>
              </w:rPr>
            </w:pPr>
          </w:p>
          <w:p w14:paraId="438E9D6D" w14:textId="012B10CF" w:rsidR="008753F8" w:rsidRDefault="006A1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7-</w:t>
            </w:r>
            <w:r w:rsidR="00DC0419">
              <w:rPr>
                <w:rFonts w:ascii="Verdana" w:hAnsi="Verdana"/>
                <w:sz w:val="20"/>
                <w:szCs w:val="20"/>
              </w:rPr>
              <w:t>9</w:t>
            </w:r>
          </w:p>
          <w:p w14:paraId="3F638295" w14:textId="77777777" w:rsidR="006A196F" w:rsidRDefault="006A196F">
            <w:pPr>
              <w:rPr>
                <w:rFonts w:ascii="Verdana" w:hAnsi="Verdana"/>
                <w:sz w:val="20"/>
                <w:szCs w:val="20"/>
              </w:rPr>
            </w:pPr>
          </w:p>
          <w:p w14:paraId="1840B7A3" w14:textId="4BB73A84" w:rsidR="006A196F" w:rsidRDefault="006A19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05D1A98E" w14:textId="44B1B68E" w:rsidR="008753F8" w:rsidRDefault="00C04C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Number of a</w:t>
            </w:r>
            <w:r w:rsidRPr="009620A6">
              <w:rPr>
                <w:rFonts w:ascii="Verdana" w:hAnsi="Verdana"/>
                <w:sz w:val="20"/>
                <w:szCs w:val="20"/>
              </w:rPr>
              <w:t xml:space="preserve">ggregated sales for the </w:t>
            </w:r>
            <w:r>
              <w:rPr>
                <w:rFonts w:ascii="Verdana" w:hAnsi="Verdana"/>
                <w:sz w:val="20"/>
                <w:szCs w:val="20"/>
              </w:rPr>
              <w:t xml:space="preserve">whole of </w:t>
            </w:r>
            <w:r w:rsidRPr="009620A6">
              <w:rPr>
                <w:rFonts w:ascii="Verdana" w:hAnsi="Verdana"/>
                <w:sz w:val="20"/>
                <w:szCs w:val="20"/>
              </w:rPr>
              <w:t>l</w:t>
            </w:r>
            <w:r>
              <w:rPr>
                <w:rFonts w:ascii="Verdana" w:hAnsi="Verdana"/>
                <w:sz w:val="20"/>
                <w:szCs w:val="20"/>
              </w:rPr>
              <w:t>ast quarter of plans made with</w:t>
            </w:r>
            <w:r w:rsidRPr="009620A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D2C69" w:rsidRPr="00C11C85">
              <w:rPr>
                <w:rFonts w:ascii="Verdana" w:hAnsi="Verdana"/>
                <w:i/>
                <w:sz w:val="20"/>
                <w:szCs w:val="20"/>
              </w:rPr>
              <w:t>‘</w:t>
            </w:r>
            <w:r w:rsidRPr="00C11C85">
              <w:rPr>
                <w:rFonts w:ascii="Verdana" w:hAnsi="Verdana"/>
                <w:i/>
                <w:sz w:val="20"/>
                <w:szCs w:val="20"/>
              </w:rPr>
              <w:t>payment terms longer than 12 months</w:t>
            </w:r>
            <w:r w:rsidR="009D2C69" w:rsidRPr="00C11C85">
              <w:rPr>
                <w:rFonts w:ascii="Verdana" w:hAnsi="Verdana"/>
                <w:i/>
                <w:sz w:val="20"/>
                <w:szCs w:val="20"/>
              </w:rPr>
              <w:t>’</w:t>
            </w:r>
          </w:p>
        </w:tc>
        <w:tc>
          <w:tcPr>
            <w:tcW w:w="4485" w:type="dxa"/>
          </w:tcPr>
          <w:p w14:paraId="57626F0C" w14:textId="50CEBB40" w:rsidR="00C1198D" w:rsidRDefault="002C4AA4" w:rsidP="00C1198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Question</w:t>
            </w:r>
            <w:r w:rsidR="00DC0419">
              <w:rPr>
                <w:rFonts w:ascii="Verdana" w:hAnsi="Verdana" w:cs="Arial"/>
                <w:sz w:val="20"/>
                <w:szCs w:val="20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7–</w:t>
            </w:r>
            <w:r w:rsidR="00DC0419">
              <w:rPr>
                <w:rFonts w:ascii="Verdana" w:hAnsi="Verdana" w:cs="Arial"/>
                <w:sz w:val="20"/>
                <w:szCs w:val="20"/>
              </w:rPr>
              <w:t>9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1198D">
              <w:rPr>
                <w:rFonts w:ascii="Verdana" w:hAnsi="Verdana" w:cs="Arial"/>
                <w:sz w:val="20"/>
                <w:szCs w:val="20"/>
              </w:rPr>
              <w:t>require information on sales of funeral plans made with payment terms longer than 12 months.</w:t>
            </w:r>
          </w:p>
          <w:p w14:paraId="764AFD9E" w14:textId="77777777" w:rsidR="00C70C4C" w:rsidRDefault="00C70C4C" w:rsidP="00C1198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5F08392" w14:textId="5E2F2618" w:rsidR="00181A70" w:rsidRDefault="00DC0419" w:rsidP="00C04CE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Question</w:t>
            </w:r>
            <w:r w:rsidR="001C195B">
              <w:rPr>
                <w:rFonts w:ascii="Verdana" w:hAnsi="Verdana" w:cs="Arial"/>
                <w:sz w:val="20"/>
                <w:szCs w:val="20"/>
              </w:rPr>
              <w:t>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7-8</w:t>
            </w:r>
            <w:r w:rsidR="00C04CE6" w:rsidRPr="00B824FC">
              <w:rPr>
                <w:rFonts w:ascii="Verdana" w:hAnsi="Verdana" w:cs="Arial"/>
                <w:sz w:val="20"/>
                <w:szCs w:val="20"/>
              </w:rPr>
              <w:t xml:space="preserve"> ask for the </w:t>
            </w:r>
            <w:r w:rsidR="00C04CE6">
              <w:rPr>
                <w:rFonts w:ascii="Verdana" w:hAnsi="Verdana" w:cs="Arial"/>
                <w:sz w:val="20"/>
                <w:szCs w:val="20"/>
              </w:rPr>
              <w:t xml:space="preserve">aggregated sales numbers to be </w:t>
            </w:r>
            <w:r w:rsidR="00C04CE6" w:rsidRPr="00B824FC">
              <w:rPr>
                <w:rFonts w:ascii="Verdana" w:hAnsi="Verdana" w:cs="Arial"/>
                <w:sz w:val="20"/>
                <w:szCs w:val="20"/>
              </w:rPr>
              <w:t>broken down into age bands</w:t>
            </w:r>
            <w:r w:rsidR="00C04CE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2C69">
              <w:rPr>
                <w:rFonts w:ascii="Verdana" w:hAnsi="Verdana" w:cs="Arial"/>
                <w:sz w:val="20"/>
                <w:szCs w:val="20"/>
              </w:rPr>
              <w:t xml:space="preserve">per Policyholder </w:t>
            </w:r>
            <w:r w:rsidR="00C04CE6">
              <w:rPr>
                <w:rFonts w:ascii="Verdana" w:hAnsi="Verdana" w:cs="Arial"/>
                <w:sz w:val="20"/>
                <w:szCs w:val="20"/>
              </w:rPr>
              <w:t>(</w:t>
            </w:r>
            <w:r w:rsidR="00565266">
              <w:rPr>
                <w:rFonts w:ascii="Verdana" w:hAnsi="Verdana" w:cs="Arial"/>
                <w:sz w:val="20"/>
                <w:szCs w:val="20"/>
              </w:rPr>
              <w:t>Field</w:t>
            </w:r>
            <w:r w:rsidR="00C04CE6">
              <w:rPr>
                <w:rFonts w:ascii="Verdana" w:hAnsi="Verdana" w:cs="Arial"/>
                <w:sz w:val="20"/>
                <w:szCs w:val="20"/>
              </w:rPr>
              <w:t>s A-H)</w:t>
            </w:r>
            <w:r w:rsidR="009D2C6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70C4">
              <w:rPr>
                <w:rFonts w:ascii="Verdana" w:hAnsi="Verdana" w:cs="Arial"/>
                <w:sz w:val="20"/>
                <w:szCs w:val="20"/>
              </w:rPr>
              <w:t xml:space="preserve">and defined by the sale of trust backed plans </w:t>
            </w:r>
            <w:r w:rsidR="000270C4" w:rsidRPr="00BA43CA">
              <w:rPr>
                <w:rFonts w:ascii="Verdana" w:hAnsi="Verdana" w:cs="Arial"/>
                <w:i/>
                <w:sz w:val="20"/>
                <w:szCs w:val="20"/>
              </w:rPr>
              <w:t>or</w:t>
            </w:r>
            <w:r w:rsidR="000270C4">
              <w:rPr>
                <w:rFonts w:ascii="Verdana" w:hAnsi="Verdana" w:cs="Arial"/>
                <w:sz w:val="20"/>
                <w:szCs w:val="20"/>
              </w:rPr>
              <w:t xml:space="preserve"> insurance backed plans.</w:t>
            </w:r>
          </w:p>
          <w:p w14:paraId="66F4448A" w14:textId="77777777" w:rsidR="00C11C85" w:rsidRDefault="00C11C85" w:rsidP="00F0543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3F64D6E" w14:textId="5A941816" w:rsidR="009E4F45" w:rsidRDefault="00565266" w:rsidP="009E4F45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2589F595">
              <w:rPr>
                <w:rFonts w:ascii="Verdana" w:hAnsi="Verdana" w:cs="Arial"/>
                <w:sz w:val="20"/>
                <w:szCs w:val="20"/>
              </w:rPr>
              <w:t>Field</w:t>
            </w:r>
            <w:r w:rsidR="009E4F45" w:rsidRPr="2589F595">
              <w:rPr>
                <w:rFonts w:ascii="Verdana" w:hAnsi="Verdana" w:cs="Arial"/>
                <w:sz w:val="20"/>
                <w:szCs w:val="20"/>
              </w:rPr>
              <w:t xml:space="preserve"> J refers to</w:t>
            </w:r>
            <w:r w:rsidR="00DC0419" w:rsidRPr="2589F595">
              <w:rPr>
                <w:rFonts w:ascii="Verdana" w:hAnsi="Verdana" w:cs="Arial"/>
                <w:sz w:val="20"/>
                <w:szCs w:val="20"/>
              </w:rPr>
              <w:t xml:space="preserve"> the value (£) of the</w:t>
            </w:r>
            <w:r w:rsidR="009E4F45" w:rsidRPr="2589F595">
              <w:rPr>
                <w:rFonts w:ascii="Verdana" w:hAnsi="Verdana" w:cs="Arial"/>
                <w:sz w:val="20"/>
                <w:szCs w:val="20"/>
              </w:rPr>
              <w:t xml:space="preserve"> maximum total payments a consumer will pay over the full term of the plan. </w:t>
            </w:r>
          </w:p>
          <w:p w14:paraId="5B0552FF" w14:textId="77777777" w:rsidR="009E4F45" w:rsidRDefault="009E4F45" w:rsidP="00F0543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64DD8E6" w14:textId="7456A860" w:rsidR="00F05436" w:rsidRDefault="00565266" w:rsidP="00F0543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Field</w:t>
            </w:r>
            <w:r w:rsidR="009D2C69">
              <w:rPr>
                <w:rFonts w:ascii="Verdana" w:hAnsi="Verdana" w:cs="Arial"/>
                <w:sz w:val="20"/>
                <w:szCs w:val="20"/>
              </w:rPr>
              <w:t>s K-N refer to the term length of the plan</w:t>
            </w:r>
            <w:r w:rsidR="00BF2DB1">
              <w:rPr>
                <w:rFonts w:ascii="Verdana" w:hAnsi="Verdana" w:cs="Arial"/>
                <w:sz w:val="20"/>
                <w:szCs w:val="20"/>
              </w:rPr>
              <w:t>s sold</w:t>
            </w:r>
            <w:r w:rsidR="009D2C69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14:paraId="2386EEB6" w14:textId="77777777" w:rsidR="00F05436" w:rsidRDefault="00F05436" w:rsidP="00F0543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A80790A" w14:textId="77777777" w:rsidR="00F05436" w:rsidRPr="00C11C85" w:rsidRDefault="00F05436" w:rsidP="00F05436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For sales of insurance backed funeral plans </w:t>
            </w:r>
            <w:r w:rsidRPr="00C70C4C">
              <w:rPr>
                <w:rFonts w:ascii="Verdana" w:hAnsi="Verdana" w:cs="Arial"/>
                <w:sz w:val="20"/>
                <w:szCs w:val="20"/>
              </w:rPr>
              <w:t xml:space="preserve">where premiums continue indefinitely </w:t>
            </w:r>
            <w:r w:rsidR="00BF2DB1">
              <w:rPr>
                <w:rFonts w:ascii="Verdana" w:hAnsi="Verdana" w:cs="Arial"/>
                <w:sz w:val="20"/>
                <w:szCs w:val="20"/>
              </w:rPr>
              <w:t>unti</w:t>
            </w:r>
            <w:r>
              <w:rPr>
                <w:rFonts w:ascii="Verdana" w:hAnsi="Verdana" w:cs="Arial"/>
                <w:sz w:val="20"/>
                <w:szCs w:val="20"/>
              </w:rPr>
              <w:t>l</w:t>
            </w:r>
            <w:r w:rsidRPr="00C70C4C">
              <w:rPr>
                <w:rFonts w:ascii="Verdana" w:hAnsi="Verdana" w:cs="Arial"/>
                <w:sz w:val="20"/>
                <w:szCs w:val="20"/>
              </w:rPr>
              <w:t xml:space="preserve"> death or until a set age </w:t>
            </w:r>
            <w:r w:rsidRPr="00C11C85">
              <w:rPr>
                <w:rFonts w:ascii="Verdana" w:hAnsi="Verdana" w:cs="Arial"/>
                <w:i/>
                <w:sz w:val="20"/>
                <w:szCs w:val="20"/>
              </w:rPr>
              <w:t>e.g. 90 years old,</w:t>
            </w:r>
            <w:r w:rsidRPr="00C70C4C">
              <w:rPr>
                <w:rFonts w:ascii="Verdana" w:hAnsi="Verdana" w:cs="Arial"/>
                <w:sz w:val="20"/>
                <w:szCs w:val="20"/>
              </w:rPr>
              <w:t xml:space="preserve"> please treat customers age away from the set age at </w:t>
            </w:r>
            <w:r w:rsidR="00BF2DB1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="00290D2F">
              <w:rPr>
                <w:rFonts w:ascii="Verdana" w:hAnsi="Verdana" w:cs="Arial"/>
                <w:sz w:val="20"/>
                <w:szCs w:val="20"/>
              </w:rPr>
              <w:t>time the policy was taken out</w:t>
            </w:r>
            <w:r w:rsidRPr="00C70C4C">
              <w:rPr>
                <w:rFonts w:ascii="Verdana" w:hAnsi="Verdana" w:cs="Arial"/>
                <w:sz w:val="20"/>
                <w:szCs w:val="20"/>
              </w:rPr>
              <w:t xml:space="preserve"> as the term. Where no set age for premiums stopping exists, please treat customers age away from 90 years old as the </w:t>
            </w:r>
            <w:r w:rsidR="00290D2F">
              <w:rPr>
                <w:rFonts w:ascii="Verdana" w:hAnsi="Verdana" w:cs="Arial"/>
                <w:sz w:val="20"/>
                <w:szCs w:val="20"/>
              </w:rPr>
              <w:t>term</w:t>
            </w:r>
            <w:r w:rsidRPr="00C70C4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11C85">
              <w:rPr>
                <w:rFonts w:ascii="Verdana" w:hAnsi="Verdana" w:cs="Arial"/>
                <w:i/>
                <w:sz w:val="20"/>
                <w:szCs w:val="20"/>
              </w:rPr>
              <w:t xml:space="preserve">e.g. age 70 is 20 years away from 90, so is </w:t>
            </w:r>
            <w:r w:rsidR="00BF2DB1" w:rsidRPr="00C11C85">
              <w:rPr>
                <w:rFonts w:ascii="Verdana" w:hAnsi="Verdana" w:cs="Arial"/>
                <w:i/>
                <w:sz w:val="20"/>
                <w:szCs w:val="20"/>
              </w:rPr>
              <w:t>defined as</w:t>
            </w:r>
            <w:r w:rsidRPr="00C11C85">
              <w:rPr>
                <w:rFonts w:ascii="Verdana" w:hAnsi="Verdana" w:cs="Arial"/>
                <w:i/>
                <w:sz w:val="20"/>
                <w:szCs w:val="20"/>
              </w:rPr>
              <w:t xml:space="preserve"> &gt;10 year plan.</w:t>
            </w:r>
          </w:p>
          <w:p w14:paraId="7DB01B98" w14:textId="77777777" w:rsidR="00F05436" w:rsidRDefault="00F05436" w:rsidP="00F0543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81F8170" w14:textId="6E359EDB" w:rsidR="00C11C85" w:rsidRDefault="00565266" w:rsidP="00F0543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Field</w:t>
            </w:r>
            <w:r w:rsidR="00C11C85" w:rsidRPr="00C11C85">
              <w:rPr>
                <w:rFonts w:ascii="Verdana" w:hAnsi="Verdana" w:cs="Arial"/>
                <w:sz w:val="20"/>
                <w:szCs w:val="20"/>
              </w:rPr>
              <w:t xml:space="preserve"> O-P refer to the method of sale. </w:t>
            </w:r>
            <w:r>
              <w:rPr>
                <w:rFonts w:ascii="Verdana" w:hAnsi="Verdana" w:cs="Arial"/>
                <w:sz w:val="20"/>
                <w:szCs w:val="20"/>
              </w:rPr>
              <w:t>Field</w:t>
            </w:r>
            <w:r w:rsidR="00C11C85" w:rsidRPr="00C11C85">
              <w:rPr>
                <w:rFonts w:ascii="Verdana" w:hAnsi="Verdana" w:cs="Arial"/>
                <w:sz w:val="20"/>
                <w:szCs w:val="20"/>
              </w:rPr>
              <w:t xml:space="preserve"> O requires the total</w:t>
            </w:r>
            <w:r w:rsidR="00DC0419">
              <w:rPr>
                <w:rFonts w:ascii="Verdana" w:hAnsi="Verdana" w:cs="Arial"/>
                <w:sz w:val="20"/>
                <w:szCs w:val="20"/>
              </w:rPr>
              <w:t xml:space="preserve"> (%) of</w:t>
            </w:r>
            <w:r w:rsidR="00C11C85" w:rsidRPr="00C11C85">
              <w:rPr>
                <w:rFonts w:ascii="Verdana" w:hAnsi="Verdana" w:cs="Arial"/>
                <w:sz w:val="20"/>
                <w:szCs w:val="20"/>
              </w:rPr>
              <w:t xml:space="preserve"> sales achieved via the provision of regulated advice at the point of sale. </w:t>
            </w:r>
            <w:r>
              <w:rPr>
                <w:rFonts w:ascii="Verdana" w:hAnsi="Verdana" w:cs="Arial"/>
                <w:sz w:val="20"/>
                <w:szCs w:val="20"/>
              </w:rPr>
              <w:t>Field</w:t>
            </w:r>
            <w:r w:rsidR="00C11C85" w:rsidRPr="00C11C85">
              <w:rPr>
                <w:rFonts w:ascii="Verdana" w:hAnsi="Verdana" w:cs="Arial"/>
                <w:sz w:val="20"/>
                <w:szCs w:val="20"/>
              </w:rPr>
              <w:t xml:space="preserve"> P requires the total </w:t>
            </w:r>
            <w:r w:rsidR="00DC0419">
              <w:rPr>
                <w:rFonts w:ascii="Verdana" w:hAnsi="Verdana" w:cs="Arial"/>
                <w:sz w:val="20"/>
                <w:szCs w:val="20"/>
              </w:rPr>
              <w:t xml:space="preserve">(%) of </w:t>
            </w:r>
            <w:r w:rsidR="00C11C85" w:rsidRPr="00C11C85">
              <w:rPr>
                <w:rFonts w:ascii="Verdana" w:hAnsi="Verdana" w:cs="Arial"/>
                <w:sz w:val="20"/>
                <w:szCs w:val="20"/>
              </w:rPr>
              <w:t xml:space="preserve">sales achieved via the provision of non-regulated advice. </w:t>
            </w:r>
          </w:p>
          <w:p w14:paraId="1BB5A332" w14:textId="77777777" w:rsidR="00C11C85" w:rsidRDefault="00C11C85" w:rsidP="00F0543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E8451C1" w14:textId="418624D3" w:rsidR="00F05436" w:rsidRDefault="00922672" w:rsidP="00F0543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</w:t>
            </w:r>
            <w:r w:rsidR="00565266">
              <w:rPr>
                <w:rFonts w:ascii="Verdana" w:hAnsi="Verdana" w:cs="Calibri"/>
                <w:sz w:val="20"/>
                <w:szCs w:val="20"/>
              </w:rPr>
              <w:t>ield</w:t>
            </w:r>
            <w:r w:rsidR="00C11C85">
              <w:rPr>
                <w:rFonts w:ascii="Verdana" w:hAnsi="Verdana" w:cs="Calibri"/>
                <w:sz w:val="20"/>
                <w:szCs w:val="20"/>
              </w:rPr>
              <w:t>s Q-T refer to the sale distribution channel</w:t>
            </w:r>
            <w:r w:rsidR="00DC0419">
              <w:rPr>
                <w:rFonts w:ascii="Verdana" w:hAnsi="Verdana" w:cs="Calibri"/>
                <w:sz w:val="20"/>
                <w:szCs w:val="20"/>
              </w:rPr>
              <w:t xml:space="preserve"> by monetary value (£)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. </w:t>
            </w:r>
          </w:p>
          <w:p w14:paraId="7541308D" w14:textId="2F5AB21F" w:rsidR="00C11C85" w:rsidRDefault="00565266" w:rsidP="001C195B">
            <w:pPr>
              <w:pStyle w:val="NormalWeb"/>
              <w:spacing w:before="240" w:beforeAutospacing="0" w:after="240" w:afterAutospacing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Field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 Q requires the total</w:t>
            </w:r>
            <w:r w:rsidR="00DC0419">
              <w:rPr>
                <w:rFonts w:ascii="Verdana" w:hAnsi="Verdana" w:cs="Calibri"/>
                <w:sz w:val="20"/>
                <w:szCs w:val="20"/>
              </w:rPr>
              <w:t xml:space="preserve"> value (£) of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 sales by Authorised Intermediaries. I</w:t>
            </w:r>
            <w:r w:rsidR="00C11C85" w:rsidRPr="008F3B29">
              <w:rPr>
                <w:rFonts w:ascii="Verdana" w:hAnsi="Verdana" w:cs="Calibri"/>
                <w:sz w:val="20"/>
                <w:szCs w:val="20"/>
              </w:rPr>
              <w:t>ntermediaries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 are firms that </w:t>
            </w:r>
            <w:r w:rsidR="00C11C85" w:rsidRPr="008F3B29">
              <w:rPr>
                <w:rFonts w:ascii="Verdana" w:hAnsi="Verdana" w:cs="Calibri"/>
                <w:sz w:val="20"/>
                <w:szCs w:val="20"/>
              </w:rPr>
              <w:t xml:space="preserve">advise 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on and/or arrange </w:t>
            </w:r>
            <w:r w:rsidR="00C11C85" w:rsidRPr="008F3B29">
              <w:rPr>
                <w:rFonts w:ascii="Verdana" w:hAnsi="Verdana" w:cs="Calibri"/>
                <w:sz w:val="20"/>
                <w:szCs w:val="20"/>
              </w:rPr>
              <w:t>funeral plan contracts for customers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.  Examples include </w:t>
            </w:r>
            <w:r w:rsidR="00C11C85" w:rsidRPr="008F3B29">
              <w:rPr>
                <w:rFonts w:ascii="Verdana" w:hAnsi="Verdana" w:cs="Calibri"/>
                <w:sz w:val="20"/>
                <w:szCs w:val="20"/>
              </w:rPr>
              <w:t>funeral directors and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 will-</w:t>
            </w:r>
            <w:r w:rsidR="00C11C85" w:rsidRPr="008F3B29">
              <w:rPr>
                <w:rFonts w:ascii="Verdana" w:hAnsi="Verdana" w:cs="Calibri"/>
                <w:sz w:val="20"/>
                <w:szCs w:val="20"/>
              </w:rPr>
              <w:t>writers</w:t>
            </w:r>
            <w:r w:rsidR="00C11C85">
              <w:rPr>
                <w:rFonts w:ascii="Verdana" w:hAnsi="Verdana" w:cs="Calibri"/>
                <w:sz w:val="20"/>
                <w:szCs w:val="20"/>
              </w:rPr>
              <w:t>.</w:t>
            </w:r>
            <w:r w:rsidR="00C11C85" w:rsidRPr="008F3B2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60F09073" w14:textId="5E6B0DA0" w:rsidR="00C11C85" w:rsidRDefault="00565266" w:rsidP="00C11C85">
            <w:pPr>
              <w:pStyle w:val="NormalWeb"/>
              <w:spacing w:before="240" w:beforeAutospacing="0" w:after="240" w:afterAutospacing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Field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 R requires the total sales made directly by the regulated funeral plan provider.</w:t>
            </w:r>
          </w:p>
          <w:p w14:paraId="07E2761B" w14:textId="7A16A56D" w:rsidR="00C11C85" w:rsidRDefault="00565266" w:rsidP="00C11C85">
            <w:pPr>
              <w:pStyle w:val="NormalWeb"/>
              <w:spacing w:before="240" w:beforeAutospacing="0" w:after="240" w:afterAutospacing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Field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 S requires the total </w:t>
            </w:r>
            <w:r w:rsidR="00DC0419">
              <w:rPr>
                <w:rFonts w:ascii="Verdana" w:hAnsi="Verdana" w:cs="Calibri"/>
                <w:sz w:val="20"/>
                <w:szCs w:val="20"/>
              </w:rPr>
              <w:t xml:space="preserve">value (£) of 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sales made by Appointed Representatives whereby the funeral plan provider acts as the registered Principal. An Appointed Representative is a firm or person that carries out regulated activities and acts as an agent for the directly authorised funeral plan provider (“Principle”). </w:t>
            </w:r>
          </w:p>
          <w:p w14:paraId="15D9939F" w14:textId="4412BF55" w:rsidR="009E4F45" w:rsidRDefault="00565266" w:rsidP="00C11C8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Field</w:t>
            </w:r>
            <w:r w:rsidR="00C11C85">
              <w:rPr>
                <w:rFonts w:ascii="Verdana" w:hAnsi="Verdana" w:cs="Calibri"/>
                <w:sz w:val="20"/>
                <w:szCs w:val="20"/>
              </w:rPr>
              <w:t xml:space="preserve"> T requires the total </w:t>
            </w:r>
            <w:r w:rsidR="00DC0419">
              <w:rPr>
                <w:rFonts w:ascii="Verdana" w:hAnsi="Verdana" w:cs="Calibri"/>
                <w:sz w:val="20"/>
                <w:szCs w:val="20"/>
              </w:rPr>
              <w:t xml:space="preserve">value (£) of </w:t>
            </w:r>
            <w:r w:rsidR="00C11C85">
              <w:rPr>
                <w:rFonts w:ascii="Verdana" w:hAnsi="Verdana" w:cs="Calibri"/>
                <w:sz w:val="20"/>
                <w:szCs w:val="20"/>
              </w:rPr>
              <w:t>sales by Appointed Representatives whereby an intermediary or other third-party act as the registered Principal.</w:t>
            </w:r>
          </w:p>
          <w:p w14:paraId="63E87B4F" w14:textId="77777777" w:rsidR="001C195B" w:rsidRDefault="00C11C85" w:rsidP="001C195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Del="0024238B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14:paraId="5700FBE0" w14:textId="2E908042" w:rsidR="002C4AA4" w:rsidRDefault="001C195B" w:rsidP="001C195B">
            <w:pPr>
              <w:rPr>
                <w:rFonts w:ascii="Verdana" w:hAnsi="Verdana"/>
                <w:sz w:val="20"/>
                <w:szCs w:val="20"/>
              </w:rPr>
            </w:pPr>
            <w:r w:rsidRPr="3EBC1FAD">
              <w:rPr>
                <w:rFonts w:ascii="Verdana" w:hAnsi="Verdana" w:cs="Calibri"/>
                <w:sz w:val="20"/>
                <w:szCs w:val="20"/>
              </w:rPr>
              <w:t xml:space="preserve">Question </w:t>
            </w:r>
            <w:r w:rsidR="2FD34DCD" w:rsidRPr="3EBC1FAD">
              <w:rPr>
                <w:rFonts w:ascii="Verdana" w:hAnsi="Verdana" w:cs="Calibri"/>
                <w:sz w:val="20"/>
                <w:szCs w:val="20"/>
              </w:rPr>
              <w:t>9</w:t>
            </w:r>
            <w:r w:rsidRPr="3EBC1FAD">
              <w:rPr>
                <w:rFonts w:ascii="Verdana" w:hAnsi="Verdana" w:cs="Calibri"/>
                <w:sz w:val="20"/>
                <w:szCs w:val="20"/>
              </w:rPr>
              <w:t xml:space="preserve"> requires the total values across all fields A-P (relevant to the unit required under each field).</w:t>
            </w:r>
          </w:p>
        </w:tc>
      </w:tr>
      <w:tr w:rsidR="008753F8" w14:paraId="5F2E8040" w14:textId="77777777" w:rsidTr="2589F595">
        <w:tc>
          <w:tcPr>
            <w:tcW w:w="988" w:type="dxa"/>
          </w:tcPr>
          <w:p w14:paraId="2C04EBDF" w14:textId="5D38238F" w:rsidR="008753F8" w:rsidRPr="00475BB6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10-11</w:t>
            </w:r>
          </w:p>
        </w:tc>
        <w:tc>
          <w:tcPr>
            <w:tcW w:w="3543" w:type="dxa"/>
          </w:tcPr>
          <w:p w14:paraId="53D98FB2" w14:textId="02269E71" w:rsidR="008753F8" w:rsidRPr="00475BB6" w:rsidRDefault="0014784E">
            <w:pPr>
              <w:rPr>
                <w:rFonts w:ascii="Verdana" w:hAnsi="Verdana"/>
                <w:sz w:val="20"/>
                <w:szCs w:val="20"/>
              </w:rPr>
            </w:pPr>
            <w:r w:rsidRPr="00C11C85">
              <w:rPr>
                <w:rFonts w:ascii="Verdana" w:hAnsi="Verdana"/>
                <w:sz w:val="20"/>
                <w:szCs w:val="20"/>
              </w:rPr>
              <w:t xml:space="preserve">Please provide the details of the top 5 firms of </w:t>
            </w:r>
            <w:r w:rsidR="001C195B">
              <w:rPr>
                <w:rFonts w:ascii="Verdana" w:hAnsi="Verdana"/>
                <w:sz w:val="20"/>
                <w:szCs w:val="20"/>
              </w:rPr>
              <w:t>these sales</w:t>
            </w:r>
            <w:r w:rsidR="002C4AA4" w:rsidRPr="00C11C8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11C85">
              <w:rPr>
                <w:rFonts w:ascii="Verdana" w:hAnsi="Verdana"/>
                <w:sz w:val="20"/>
                <w:szCs w:val="20"/>
              </w:rPr>
              <w:t>(either Appointed Representatives, directly Authorised intermediaries, or unregulated introducers)</w:t>
            </w:r>
          </w:p>
        </w:tc>
        <w:tc>
          <w:tcPr>
            <w:tcW w:w="4485" w:type="dxa"/>
          </w:tcPr>
          <w:p w14:paraId="006AC089" w14:textId="21A61210" w:rsidR="00FC0809" w:rsidRDefault="00C1198D" w:rsidP="00C1198D">
            <w:pPr>
              <w:rPr>
                <w:rFonts w:ascii="Verdana" w:hAnsi="Verdana"/>
                <w:sz w:val="20"/>
                <w:szCs w:val="20"/>
              </w:rPr>
            </w:pPr>
            <w:r w:rsidRPr="00475BB6">
              <w:rPr>
                <w:rFonts w:ascii="Verdana" w:hAnsi="Verdana"/>
                <w:sz w:val="20"/>
                <w:szCs w:val="20"/>
              </w:rPr>
              <w:t xml:space="preserve">Please provide the top five firms by volume of sales </w:t>
            </w:r>
            <w:r w:rsidR="00DC0419">
              <w:rPr>
                <w:rFonts w:ascii="Verdana" w:hAnsi="Verdana"/>
                <w:sz w:val="20"/>
                <w:szCs w:val="20"/>
              </w:rPr>
              <w:t xml:space="preserve">broken down by </w:t>
            </w:r>
            <w:r w:rsidRPr="00475BB6">
              <w:rPr>
                <w:rFonts w:ascii="Verdana" w:hAnsi="Verdana"/>
                <w:sz w:val="20"/>
                <w:szCs w:val="20"/>
              </w:rPr>
              <w:t xml:space="preserve">trust backed funeral plans </w:t>
            </w:r>
            <w:r w:rsidR="00DC0419">
              <w:rPr>
                <w:rFonts w:ascii="Verdana" w:hAnsi="Verdana"/>
                <w:sz w:val="20"/>
                <w:szCs w:val="20"/>
              </w:rPr>
              <w:t xml:space="preserve">(question 10) </w:t>
            </w:r>
            <w:r w:rsidRPr="00475BB6">
              <w:rPr>
                <w:rFonts w:ascii="Verdana" w:hAnsi="Verdana"/>
                <w:sz w:val="20"/>
                <w:szCs w:val="20"/>
              </w:rPr>
              <w:t>and</w:t>
            </w:r>
            <w:r w:rsidR="001D19F1">
              <w:rPr>
                <w:rFonts w:ascii="Verdana" w:hAnsi="Verdana"/>
                <w:sz w:val="20"/>
                <w:szCs w:val="20"/>
              </w:rPr>
              <w:t>/or</w:t>
            </w:r>
            <w:r w:rsidRPr="00475BB6">
              <w:rPr>
                <w:rFonts w:ascii="Verdana" w:hAnsi="Verdana"/>
                <w:sz w:val="20"/>
                <w:szCs w:val="20"/>
              </w:rPr>
              <w:t xml:space="preserve"> insurance backed plans</w:t>
            </w:r>
            <w:r w:rsidR="00DC0419">
              <w:rPr>
                <w:rFonts w:ascii="Verdana" w:hAnsi="Verdana"/>
                <w:sz w:val="20"/>
                <w:szCs w:val="20"/>
              </w:rPr>
              <w:t xml:space="preserve"> (question 11)</w:t>
            </w:r>
            <w:r w:rsidRPr="00475BB6">
              <w:rPr>
                <w:rFonts w:ascii="Verdana" w:hAnsi="Verdana"/>
                <w:sz w:val="20"/>
                <w:szCs w:val="20"/>
              </w:rPr>
              <w:t xml:space="preserve">. This includes sales by either Appointed Representatives, directly Authorised intermediaries, or unregulated introducers. </w:t>
            </w:r>
          </w:p>
          <w:p w14:paraId="3533E02A" w14:textId="77777777" w:rsidR="00FC0809" w:rsidRDefault="00FC0809" w:rsidP="00C1198D">
            <w:pPr>
              <w:rPr>
                <w:rFonts w:ascii="Verdana" w:hAnsi="Verdana"/>
                <w:sz w:val="20"/>
                <w:szCs w:val="20"/>
              </w:rPr>
            </w:pPr>
          </w:p>
          <w:p w14:paraId="5C6A76A8" w14:textId="4D50F0D4" w:rsidR="00C1198D" w:rsidRPr="00475BB6" w:rsidRDefault="00C1198D" w:rsidP="00C1198D">
            <w:pPr>
              <w:rPr>
                <w:rFonts w:ascii="Verdana" w:hAnsi="Verdana"/>
                <w:sz w:val="20"/>
                <w:szCs w:val="20"/>
              </w:rPr>
            </w:pPr>
            <w:r w:rsidRPr="00475BB6">
              <w:rPr>
                <w:rFonts w:ascii="Verdana" w:hAnsi="Verdana"/>
                <w:sz w:val="20"/>
                <w:szCs w:val="20"/>
              </w:rPr>
              <w:t xml:space="preserve">If sales of both trust backed and insurance backed funeral plans took place in the reporting period, provide the top five firms for each product. </w:t>
            </w:r>
          </w:p>
          <w:p w14:paraId="7B56E072" w14:textId="77777777" w:rsidR="00C1198D" w:rsidRPr="00475BB6" w:rsidRDefault="00C1198D" w:rsidP="00C1198D">
            <w:pPr>
              <w:rPr>
                <w:rFonts w:ascii="Verdana" w:hAnsi="Verdana"/>
                <w:sz w:val="20"/>
                <w:szCs w:val="20"/>
              </w:rPr>
            </w:pPr>
          </w:p>
          <w:p w14:paraId="4EED7850" w14:textId="77777777" w:rsidR="00C1198D" w:rsidRPr="00475BB6" w:rsidRDefault="00C1198D" w:rsidP="00C1198D">
            <w:pPr>
              <w:rPr>
                <w:rFonts w:ascii="Verdana" w:hAnsi="Verdana"/>
                <w:sz w:val="20"/>
                <w:szCs w:val="20"/>
              </w:rPr>
            </w:pPr>
            <w:r w:rsidRPr="00475BB6">
              <w:rPr>
                <w:rFonts w:ascii="Verdana" w:hAnsi="Verdana"/>
                <w:sz w:val="20"/>
                <w:szCs w:val="20"/>
              </w:rPr>
              <w:t>Field B of table refers to the firm reference number (FRN) of the firm that sold the product. Unregulated introducers will not have a FRN.</w:t>
            </w:r>
          </w:p>
          <w:p w14:paraId="072D7B7E" w14:textId="77777777" w:rsidR="00C1198D" w:rsidRPr="00475BB6" w:rsidRDefault="00C1198D" w:rsidP="00C1198D">
            <w:pPr>
              <w:rPr>
                <w:rFonts w:ascii="Verdana" w:hAnsi="Verdana"/>
                <w:sz w:val="20"/>
                <w:szCs w:val="20"/>
              </w:rPr>
            </w:pPr>
          </w:p>
          <w:p w14:paraId="76E74FDC" w14:textId="77777777" w:rsidR="008753F8" w:rsidRDefault="00C1198D" w:rsidP="00C1198D">
            <w:pPr>
              <w:rPr>
                <w:rFonts w:ascii="Verdana" w:hAnsi="Verdana"/>
                <w:sz w:val="20"/>
                <w:szCs w:val="20"/>
              </w:rPr>
            </w:pPr>
            <w:r w:rsidRPr="00475BB6">
              <w:rPr>
                <w:rFonts w:ascii="Verdana" w:hAnsi="Verdana"/>
                <w:sz w:val="20"/>
                <w:szCs w:val="20"/>
              </w:rPr>
              <w:t xml:space="preserve">Field F of the table refers to the type of distribution. </w:t>
            </w:r>
            <w:r w:rsidRPr="00475BB6">
              <w:rPr>
                <w:rFonts w:ascii="Arial" w:hAnsi="Arial" w:cs="Arial"/>
                <w:sz w:val="21"/>
                <w:szCs w:val="21"/>
              </w:rPr>
              <w:t>D</w:t>
            </w:r>
            <w:r w:rsidRPr="00475BB6">
              <w:rPr>
                <w:rFonts w:ascii="Verdana" w:hAnsi="Verdana" w:cs="Arial"/>
                <w:sz w:val="20"/>
                <w:szCs w:val="20"/>
              </w:rPr>
              <w:t>istribution should be reported under the following categories:</w:t>
            </w:r>
            <w:r w:rsidRPr="00475BB6">
              <w:rPr>
                <w:rFonts w:ascii="Verdana" w:hAnsi="Verdana"/>
                <w:sz w:val="20"/>
                <w:szCs w:val="20"/>
              </w:rPr>
              <w:t xml:space="preserve"> Appointed Representatives; directly Authorised intermediaries; or unregulated introducers.</w:t>
            </w:r>
          </w:p>
          <w:p w14:paraId="22EFA8E1" w14:textId="77777777" w:rsidR="009E4F45" w:rsidRDefault="009E4F45" w:rsidP="00C119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53F8" w14:paraId="13DC7CA5" w14:textId="77777777" w:rsidTr="2589F595">
        <w:tc>
          <w:tcPr>
            <w:tcW w:w="988" w:type="dxa"/>
          </w:tcPr>
          <w:p w14:paraId="15FB0027" w14:textId="3DE75BFA" w:rsidR="008753F8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543" w:type="dxa"/>
          </w:tcPr>
          <w:p w14:paraId="59419708" w14:textId="4DB9059B" w:rsidR="008753F8" w:rsidRDefault="00AD6797">
            <w:pPr>
              <w:rPr>
                <w:rFonts w:ascii="Verdana" w:hAnsi="Verdana"/>
                <w:sz w:val="20"/>
                <w:szCs w:val="20"/>
              </w:rPr>
            </w:pPr>
            <w:r w:rsidRPr="00AD6797">
              <w:rPr>
                <w:rFonts w:ascii="Verdana" w:hAnsi="Verdana"/>
                <w:sz w:val="20"/>
                <w:szCs w:val="20"/>
              </w:rPr>
              <w:t xml:space="preserve">Total number of funeral plans </w:t>
            </w:r>
            <w:r>
              <w:rPr>
                <w:rFonts w:ascii="Verdana" w:hAnsi="Verdana"/>
                <w:sz w:val="20"/>
                <w:szCs w:val="20"/>
              </w:rPr>
              <w:t>fulfilled</w:t>
            </w:r>
          </w:p>
          <w:p w14:paraId="444BF6F5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14DE1CE" w14:textId="783B432F" w:rsidR="008753F8" w:rsidRDefault="009E4F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State </w:t>
            </w:r>
            <w:r w:rsidR="00FC0809">
              <w:rPr>
                <w:rFonts w:ascii="Verdana" w:hAnsi="Verdana"/>
                <w:sz w:val="20"/>
                <w:szCs w:val="20"/>
              </w:rPr>
              <w:t xml:space="preserve">the </w:t>
            </w:r>
            <w:r>
              <w:rPr>
                <w:rFonts w:ascii="Verdana" w:hAnsi="Verdana"/>
                <w:sz w:val="20"/>
                <w:szCs w:val="20"/>
              </w:rPr>
              <w:t>total number</w:t>
            </w:r>
            <w:r w:rsidR="00FC0809">
              <w:rPr>
                <w:rFonts w:ascii="Verdana" w:hAnsi="Verdana"/>
                <w:sz w:val="20"/>
                <w:szCs w:val="20"/>
              </w:rPr>
              <w:t xml:space="preserve"> of funeral plans paid out to plan holders.</w:t>
            </w:r>
          </w:p>
        </w:tc>
      </w:tr>
      <w:tr w:rsidR="008753F8" w14:paraId="5FA84E65" w14:textId="77777777" w:rsidTr="2589F595">
        <w:tc>
          <w:tcPr>
            <w:tcW w:w="988" w:type="dxa"/>
          </w:tcPr>
          <w:p w14:paraId="0CA6937F" w14:textId="6FC0497A" w:rsidR="008753F8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543" w:type="dxa"/>
          </w:tcPr>
          <w:p w14:paraId="6D752289" w14:textId="4E18F149" w:rsidR="00165E92" w:rsidRDefault="00715D19">
            <w:pPr>
              <w:rPr>
                <w:rFonts w:ascii="Verdana" w:hAnsi="Verdana"/>
                <w:sz w:val="20"/>
                <w:szCs w:val="20"/>
              </w:rPr>
            </w:pPr>
            <w:r w:rsidRPr="00715D19">
              <w:rPr>
                <w:rFonts w:ascii="Verdana" w:hAnsi="Verdana"/>
                <w:sz w:val="20"/>
                <w:szCs w:val="20"/>
              </w:rPr>
              <w:t>Number of plans claimed where not fully paid up</w:t>
            </w:r>
          </w:p>
          <w:p w14:paraId="41BAD2D6" w14:textId="77777777" w:rsidR="008753F8" w:rsidRDefault="008753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7373954" w14:textId="43BF25A0" w:rsidR="008753F8" w:rsidRDefault="00903312">
            <w:pPr>
              <w:rPr>
                <w:rFonts w:ascii="Verdana" w:hAnsi="Verdana"/>
                <w:sz w:val="20"/>
                <w:szCs w:val="20"/>
              </w:rPr>
            </w:pPr>
            <w:r w:rsidRPr="00C11C85">
              <w:rPr>
                <w:rFonts w:ascii="Verdana" w:hAnsi="Verdana"/>
                <w:sz w:val="20"/>
                <w:szCs w:val="20"/>
              </w:rPr>
              <w:t>Enter the total number of plans where</w:t>
            </w:r>
            <w:r w:rsidR="006D5914" w:rsidRPr="00C11C8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C0809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2C4AA4" w:rsidRPr="00C11C85">
              <w:rPr>
                <w:rFonts w:ascii="Verdana" w:hAnsi="Verdana"/>
                <w:sz w:val="20"/>
                <w:szCs w:val="20"/>
              </w:rPr>
              <w:t>insta</w:t>
            </w:r>
            <w:r w:rsidR="002C4AA4">
              <w:rPr>
                <w:rFonts w:ascii="Verdana" w:hAnsi="Verdana"/>
                <w:sz w:val="20"/>
                <w:szCs w:val="20"/>
              </w:rPr>
              <w:t>l</w:t>
            </w:r>
            <w:r w:rsidR="002C4AA4" w:rsidRPr="00C11C85">
              <w:rPr>
                <w:rFonts w:ascii="Verdana" w:hAnsi="Verdana"/>
                <w:sz w:val="20"/>
                <w:szCs w:val="20"/>
              </w:rPr>
              <w:t>ment</w:t>
            </w:r>
            <w:r w:rsidR="006D5914" w:rsidRPr="00C11C85">
              <w:rPr>
                <w:rFonts w:ascii="Verdana" w:hAnsi="Verdana"/>
                <w:sz w:val="20"/>
                <w:szCs w:val="20"/>
              </w:rPr>
              <w:t xml:space="preserve"> payments are not fully paid </w:t>
            </w:r>
            <w:r w:rsidR="000270C4" w:rsidRPr="00C11C85">
              <w:rPr>
                <w:rFonts w:ascii="Verdana" w:hAnsi="Verdana"/>
                <w:sz w:val="20"/>
                <w:szCs w:val="20"/>
              </w:rPr>
              <w:t>up</w:t>
            </w:r>
            <w:r w:rsidR="00FC0809">
              <w:rPr>
                <w:rFonts w:ascii="Verdana" w:hAnsi="Verdana"/>
                <w:sz w:val="20"/>
                <w:szCs w:val="20"/>
              </w:rPr>
              <w:t xml:space="preserve"> and an outstanding balance must be met by the plan holder’s estate for the provision of a funeral</w:t>
            </w:r>
            <w:r w:rsidR="000270C4" w:rsidRPr="00C11C85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5C9F2055" w14:textId="77777777" w:rsidR="009E4F45" w:rsidRDefault="009E4F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6797" w14:paraId="3B9053DC" w14:textId="77777777" w:rsidTr="2589F595">
        <w:tc>
          <w:tcPr>
            <w:tcW w:w="988" w:type="dxa"/>
          </w:tcPr>
          <w:p w14:paraId="56D459A6" w14:textId="1713353B" w:rsidR="00AD6797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543" w:type="dxa"/>
          </w:tcPr>
          <w:p w14:paraId="2B8010CB" w14:textId="2DED5F8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Number of claims declined</w:t>
            </w:r>
          </w:p>
          <w:p w14:paraId="6B110D44" w14:textId="77777777" w:rsidR="00AD6797" w:rsidRDefault="00AD679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44393793" w14:textId="77777777" w:rsidR="003B19D3" w:rsidRPr="00475BB6" w:rsidRDefault="003B19D3">
            <w:pPr>
              <w:rPr>
                <w:rFonts w:ascii="Verdana" w:hAnsi="Verdana"/>
                <w:sz w:val="20"/>
                <w:szCs w:val="20"/>
              </w:rPr>
            </w:pPr>
            <w:r w:rsidRPr="00475BB6">
              <w:rPr>
                <w:rFonts w:ascii="Verdana" w:hAnsi="Verdana"/>
                <w:sz w:val="20"/>
                <w:szCs w:val="20"/>
              </w:rPr>
              <w:t>State total number.</w:t>
            </w:r>
          </w:p>
          <w:p w14:paraId="7C8C5E3C" w14:textId="77777777" w:rsidR="003B19D3" w:rsidRPr="00475BB6" w:rsidRDefault="003B19D3">
            <w:pPr>
              <w:rPr>
                <w:rFonts w:ascii="Verdana" w:hAnsi="Verdana"/>
                <w:sz w:val="20"/>
                <w:szCs w:val="20"/>
              </w:rPr>
            </w:pPr>
          </w:p>
          <w:p w14:paraId="7CBCBE70" w14:textId="09199011" w:rsidR="006350F5" w:rsidRDefault="006350F5" w:rsidP="00635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 e</w:t>
            </w:r>
            <w:r w:rsidR="003B19D3" w:rsidRPr="00475BB6">
              <w:rPr>
                <w:rFonts w:ascii="Verdana" w:hAnsi="Verdana"/>
                <w:sz w:val="20"/>
                <w:szCs w:val="20"/>
              </w:rPr>
              <w:t>xample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75BB6">
              <w:rPr>
                <w:rFonts w:ascii="Verdana" w:hAnsi="Verdana"/>
                <w:sz w:val="20"/>
                <w:szCs w:val="20"/>
              </w:rPr>
              <w:t>declined and discontinued claims</w:t>
            </w:r>
            <w:r w:rsidR="003B19D3" w:rsidRPr="00475BB6">
              <w:rPr>
                <w:rFonts w:ascii="Verdana" w:hAnsi="Verdana"/>
                <w:sz w:val="20"/>
                <w:szCs w:val="20"/>
              </w:rPr>
              <w:t xml:space="preserve"> include a</w:t>
            </w:r>
            <w:r w:rsidR="003B19D3">
              <w:rPr>
                <w:rFonts w:ascii="Verdana" w:hAnsi="Verdana"/>
                <w:sz w:val="20"/>
                <w:szCs w:val="20"/>
              </w:rPr>
              <w:t xml:space="preserve"> claim on a funeral plan declined on the basis of</w:t>
            </w:r>
            <w:r w:rsidR="00FC0809">
              <w:rPr>
                <w:rFonts w:ascii="Verdana" w:hAnsi="Verdana"/>
                <w:sz w:val="20"/>
                <w:szCs w:val="20"/>
              </w:rPr>
              <w:t xml:space="preserve"> a breach of contract by the plan holder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0836DB86" w14:textId="6F7BD58F" w:rsidR="00AD6797" w:rsidRPr="00181A70" w:rsidRDefault="006350F5" w:rsidP="006350F5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81A70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AD6797" w14:paraId="43F3045B" w14:textId="77777777" w:rsidTr="2589F595">
        <w:tc>
          <w:tcPr>
            <w:tcW w:w="988" w:type="dxa"/>
          </w:tcPr>
          <w:p w14:paraId="2AEDF0E5" w14:textId="56EDE48F" w:rsidR="00AD6797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14:paraId="053F5018" w14:textId="06768800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Number of cancellations by plan holders in cooling off period</w:t>
            </w:r>
          </w:p>
          <w:p w14:paraId="68F06675" w14:textId="77777777" w:rsidR="00AD6797" w:rsidRDefault="00AD679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69978A1E" w14:textId="0BF2A78C" w:rsidR="00A466CE" w:rsidRDefault="002E19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Enter the </w:t>
            </w:r>
            <w:r w:rsidR="00A466CE">
              <w:rPr>
                <w:rFonts w:ascii="Verdana" w:hAnsi="Verdana"/>
                <w:sz w:val="20"/>
                <w:szCs w:val="20"/>
              </w:rPr>
              <w:t xml:space="preserve">total </w:t>
            </w:r>
            <w:r>
              <w:rPr>
                <w:rFonts w:ascii="Verdana" w:hAnsi="Verdana"/>
                <w:sz w:val="20"/>
                <w:szCs w:val="20"/>
              </w:rPr>
              <w:t>number of cancellation</w:t>
            </w:r>
            <w:r w:rsidR="00A466CE">
              <w:rPr>
                <w:rFonts w:ascii="Verdana" w:hAnsi="Verdana"/>
                <w:sz w:val="20"/>
                <w:szCs w:val="20"/>
              </w:rPr>
              <w:t>s, by plan holder,</w:t>
            </w:r>
            <w:r>
              <w:rPr>
                <w:rFonts w:ascii="Verdana" w:hAnsi="Verdana"/>
                <w:sz w:val="20"/>
                <w:szCs w:val="20"/>
              </w:rPr>
              <w:t xml:space="preserve"> taking place </w:t>
            </w:r>
            <w:r w:rsidR="00A466CE">
              <w:rPr>
                <w:rFonts w:ascii="Verdana" w:hAnsi="Verdana"/>
                <w:sz w:val="20"/>
                <w:szCs w:val="20"/>
              </w:rPr>
              <w:t xml:space="preserve">within the </w:t>
            </w:r>
            <w:r w:rsidR="006350F5">
              <w:rPr>
                <w:rFonts w:ascii="Verdana" w:hAnsi="Verdana"/>
                <w:sz w:val="20"/>
                <w:szCs w:val="20"/>
              </w:rPr>
              <w:t>30</w:t>
            </w:r>
            <w:r w:rsidR="00A466CE">
              <w:rPr>
                <w:rFonts w:ascii="Verdana" w:hAnsi="Verdana"/>
                <w:sz w:val="20"/>
                <w:szCs w:val="20"/>
              </w:rPr>
              <w:t>-day</w:t>
            </w:r>
            <w:r>
              <w:rPr>
                <w:rFonts w:ascii="Verdana" w:hAnsi="Verdana"/>
                <w:sz w:val="20"/>
                <w:szCs w:val="20"/>
              </w:rPr>
              <w:t xml:space="preserve"> cancellation period</w:t>
            </w:r>
            <w:r w:rsidR="005F04A6">
              <w:rPr>
                <w:rFonts w:ascii="Verdana" w:hAnsi="Verdana"/>
                <w:sz w:val="20"/>
                <w:szCs w:val="20"/>
              </w:rPr>
              <w:t>.</w:t>
            </w:r>
          </w:p>
          <w:p w14:paraId="759A8526" w14:textId="77777777" w:rsidR="00AD6797" w:rsidRDefault="00AD67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5E92" w14:paraId="58E5B934" w14:textId="77777777" w:rsidTr="2589F595">
        <w:tc>
          <w:tcPr>
            <w:tcW w:w="988" w:type="dxa"/>
          </w:tcPr>
          <w:p w14:paraId="5CFAF325" w14:textId="7F6630C4" w:rsidR="00165E92" w:rsidRDefault="00F253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C4AA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14:paraId="224EB559" w14:textId="0C4C2632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Number of cancellations by plan holders outside cooling off period</w:t>
            </w:r>
          </w:p>
          <w:p w14:paraId="408FE82E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6BCB062C" w14:textId="004D6BE9" w:rsidR="00A466CE" w:rsidRDefault="00A466CE" w:rsidP="00A466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Enter the total number of cancellations, by plan holder, taking place outside of the </w:t>
            </w:r>
            <w:r w:rsidR="006350F5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-day cancellation period</w:t>
            </w:r>
            <w:r w:rsidR="005F04A6">
              <w:rPr>
                <w:rFonts w:ascii="Verdana" w:hAnsi="Verdana"/>
                <w:sz w:val="20"/>
                <w:szCs w:val="20"/>
              </w:rPr>
              <w:t>.</w:t>
            </w:r>
          </w:p>
          <w:p w14:paraId="66B8C18A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5E92" w14:paraId="737E6606" w14:textId="77777777" w:rsidTr="2589F595">
        <w:tc>
          <w:tcPr>
            <w:tcW w:w="988" w:type="dxa"/>
          </w:tcPr>
          <w:p w14:paraId="7FFED335" w14:textId="0E69C1D9" w:rsidR="00165E92" w:rsidRDefault="00F253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C4AA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14:paraId="6DF997DB" w14:textId="6061F67F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Number of cancellations by yourselves as provider</w:t>
            </w:r>
          </w:p>
          <w:p w14:paraId="1B43934A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A763290" w14:textId="77777777" w:rsidR="00165E92" w:rsidRDefault="009E4F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 total number.</w:t>
            </w:r>
          </w:p>
        </w:tc>
      </w:tr>
      <w:tr w:rsidR="00165E92" w14:paraId="50794417" w14:textId="77777777" w:rsidTr="2589F595">
        <w:tc>
          <w:tcPr>
            <w:tcW w:w="988" w:type="dxa"/>
          </w:tcPr>
          <w:p w14:paraId="531CD85C" w14:textId="0A3E5204" w:rsidR="00165E92" w:rsidRDefault="00F253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C4AA4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14:paraId="14A515B8" w14:textId="293A5808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Total cancellation (£) fees paid per customer</w:t>
            </w:r>
          </w:p>
          <w:p w14:paraId="1C3EF496" w14:textId="77777777" w:rsidR="00165E92" w:rsidRP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639CF92" w14:textId="251AAA83" w:rsidR="00A466CE" w:rsidRDefault="002E1949" w:rsidP="2589F595">
            <w:pPr>
              <w:rPr>
                <w:rFonts w:ascii="Verdana" w:hAnsi="Verdana" w:cs="Arial"/>
                <w:sz w:val="20"/>
                <w:szCs w:val="20"/>
              </w:rPr>
            </w:pPr>
            <w:r w:rsidRPr="2589F595">
              <w:rPr>
                <w:rFonts w:ascii="Verdana" w:hAnsi="Verdana" w:cs="Arial"/>
                <w:sz w:val="20"/>
                <w:szCs w:val="20"/>
              </w:rPr>
              <w:t xml:space="preserve">Enter the </w:t>
            </w:r>
            <w:r w:rsidR="00A466CE" w:rsidRPr="2589F595">
              <w:rPr>
                <w:rFonts w:ascii="Verdana" w:hAnsi="Verdana" w:cs="Arial"/>
                <w:sz w:val="20"/>
                <w:szCs w:val="20"/>
              </w:rPr>
              <w:t xml:space="preserve">minimum, </w:t>
            </w:r>
            <w:r w:rsidR="2F5448E6" w:rsidRPr="2589F595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median</w:t>
            </w:r>
            <w:r w:rsidR="00A466CE" w:rsidRPr="2589F595">
              <w:rPr>
                <w:rFonts w:ascii="Verdana" w:hAnsi="Verdana" w:cs="Arial"/>
                <w:sz w:val="20"/>
                <w:szCs w:val="20"/>
              </w:rPr>
              <w:t xml:space="preserve"> and maximum fee charged across all customers that cancelled.</w:t>
            </w:r>
            <w:r w:rsidR="001A4C19" w:rsidRPr="2589F59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2DCECE7" w14:textId="77777777" w:rsidR="00165E92" w:rsidRPr="00A466CE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5E92" w14:paraId="4D2C57DD" w14:textId="77777777" w:rsidTr="2589F595">
        <w:tc>
          <w:tcPr>
            <w:tcW w:w="988" w:type="dxa"/>
          </w:tcPr>
          <w:p w14:paraId="57360EF4" w14:textId="13DD0F10" w:rsidR="00165E92" w:rsidRDefault="00F253C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C4AA4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14:paraId="4FE8965C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What was the total remuneration paid to the firm's employees selling plans?</w:t>
            </w:r>
          </w:p>
          <w:p w14:paraId="28DD1A98" w14:textId="77777777" w:rsidR="00165E92" w:rsidRP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45520486" w14:textId="77777777" w:rsidR="002E1949" w:rsidRPr="002E1949" w:rsidRDefault="002E1949" w:rsidP="002E194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2E1949">
              <w:rPr>
                <w:rFonts w:ascii="Verdana" w:hAnsi="Verdana" w:cs="Times New Roman"/>
                <w:sz w:val="20"/>
                <w:szCs w:val="20"/>
              </w:rPr>
              <w:t>Include all remuneration received by employees, including any variable remuneration such as bonuses, commissions or performance-based pay. Include share-based remuneration, options and the monetary value of benefits in kind.</w:t>
            </w:r>
          </w:p>
          <w:p w14:paraId="76845135" w14:textId="77777777" w:rsidR="00165E92" w:rsidRDefault="00165E92" w:rsidP="002E19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5E92" w14:paraId="53785276" w14:textId="77777777" w:rsidTr="2589F595">
        <w:tc>
          <w:tcPr>
            <w:tcW w:w="988" w:type="dxa"/>
          </w:tcPr>
          <w:p w14:paraId="39338BA2" w14:textId="2297A7B7" w:rsidR="00165E92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543" w:type="dxa"/>
          </w:tcPr>
          <w:p w14:paraId="0980913C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What was the amount of variable remuneration paid to the firm's employees selling plans?</w:t>
            </w:r>
          </w:p>
          <w:p w14:paraId="245053EF" w14:textId="77777777" w:rsidR="00165E92" w:rsidRP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8B0C6F3" w14:textId="16FF6C6F" w:rsidR="009620A6" w:rsidRDefault="009620A6" w:rsidP="2589F59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2589F595">
              <w:rPr>
                <w:rFonts w:ascii="Verdana" w:hAnsi="Verdana" w:cs="Times New Roman"/>
                <w:sz w:val="20"/>
                <w:szCs w:val="20"/>
              </w:rPr>
              <w:t xml:space="preserve">Enter the minimum, </w:t>
            </w:r>
            <w:r w:rsidR="6D40800E" w:rsidRPr="2589F595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median</w:t>
            </w:r>
            <w:r w:rsidRPr="2589F595">
              <w:rPr>
                <w:rFonts w:ascii="Verdana" w:hAnsi="Verdana" w:cs="Times New Roman"/>
                <w:sz w:val="20"/>
                <w:szCs w:val="20"/>
              </w:rPr>
              <w:t>, maximum and total variable remuneration paid to the firm’s employees selling plans.</w:t>
            </w:r>
          </w:p>
          <w:p w14:paraId="70CD2AEC" w14:textId="77777777" w:rsidR="009620A6" w:rsidRDefault="009620A6" w:rsidP="002E194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</w:p>
          <w:p w14:paraId="09F486FD" w14:textId="77777777" w:rsidR="002E1949" w:rsidRPr="002E1949" w:rsidRDefault="002E1949" w:rsidP="002E194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2E1949">
              <w:rPr>
                <w:rFonts w:ascii="Verdana" w:hAnsi="Verdana" w:cs="Times New Roman"/>
                <w:sz w:val="20"/>
                <w:szCs w:val="20"/>
              </w:rPr>
              <w:t xml:space="preserve">Include only variable remuneration such as bonuses, commissions or performance-based pay. Include share-based remuneration, options and the monetary value of benefits in kind to the extent that these are variable. </w:t>
            </w:r>
          </w:p>
          <w:p w14:paraId="04EB5714" w14:textId="77777777" w:rsidR="00165E92" w:rsidRDefault="00165E92" w:rsidP="002E19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5E92" w14:paraId="7636862D" w14:textId="77777777" w:rsidTr="2589F595">
        <w:tc>
          <w:tcPr>
            <w:tcW w:w="988" w:type="dxa"/>
          </w:tcPr>
          <w:p w14:paraId="4A005B8C" w14:textId="2F09D539" w:rsidR="00165E92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543" w:type="dxa"/>
          </w:tcPr>
          <w:p w14:paraId="0AC4EC2B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How many employees do you have selling plans?</w:t>
            </w:r>
          </w:p>
          <w:p w14:paraId="3FA4ED16" w14:textId="77777777" w:rsidR="00165E92" w:rsidRP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35283910" w14:textId="77777777" w:rsidR="00081E65" w:rsidRPr="00081E65" w:rsidRDefault="00081E65" w:rsidP="00A466CE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081E65">
              <w:rPr>
                <w:rFonts w:ascii="Verdana" w:hAnsi="Verdana" w:cs="Times New Roman"/>
                <w:sz w:val="20"/>
                <w:szCs w:val="20"/>
              </w:rPr>
              <w:t>State how many employees the firm ha</w:t>
            </w:r>
            <w:r w:rsidR="002E1949" w:rsidRPr="002E1949">
              <w:rPr>
                <w:rFonts w:ascii="Verdana" w:hAnsi="Verdana" w:cs="Times New Roman"/>
                <w:sz w:val="20"/>
                <w:szCs w:val="20"/>
              </w:rPr>
              <w:t>s selling plans</w:t>
            </w:r>
            <w:r w:rsidRPr="00081E65">
              <w:rPr>
                <w:rFonts w:ascii="Verdana" w:hAnsi="Verdana" w:cs="Times New Roman"/>
                <w:sz w:val="20"/>
                <w:szCs w:val="20"/>
              </w:rPr>
              <w:t xml:space="preserve"> during the reporting period.</w:t>
            </w:r>
          </w:p>
          <w:p w14:paraId="6321ED02" w14:textId="77777777" w:rsidR="00A466CE" w:rsidRDefault="00A466CE" w:rsidP="00A466CE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</w:p>
          <w:p w14:paraId="278E4988" w14:textId="77777777" w:rsidR="00081E65" w:rsidRPr="00081E65" w:rsidRDefault="00081E65" w:rsidP="00A466CE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081E65">
              <w:rPr>
                <w:rFonts w:ascii="Verdana" w:hAnsi="Verdana" w:cs="Times New Roman"/>
                <w:sz w:val="20"/>
                <w:szCs w:val="20"/>
              </w:rPr>
              <w:t xml:space="preserve">Include part time workers in this figure as 0.5. </w:t>
            </w:r>
          </w:p>
          <w:p w14:paraId="18A7BE26" w14:textId="77777777" w:rsidR="00165E92" w:rsidRDefault="00165E92" w:rsidP="002E19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5E92" w14:paraId="5A2C1548" w14:textId="77777777" w:rsidTr="2589F595">
        <w:tc>
          <w:tcPr>
            <w:tcW w:w="988" w:type="dxa"/>
          </w:tcPr>
          <w:p w14:paraId="24C66C67" w14:textId="2745B8F6" w:rsidR="00165E92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543" w:type="dxa"/>
          </w:tcPr>
          <w:p w14:paraId="6B396F3A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What was the amount paid to non-employee sales agents i.e. commission (£)?</w:t>
            </w:r>
          </w:p>
          <w:p w14:paraId="156CECAC" w14:textId="77777777" w:rsidR="00165E92" w:rsidRP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EC04BD8" w14:textId="4B69E4C8" w:rsidR="009620A6" w:rsidRDefault="009620A6" w:rsidP="009620A6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2589F595">
              <w:rPr>
                <w:rFonts w:ascii="Verdana" w:hAnsi="Verdana" w:cs="Times New Roman"/>
                <w:sz w:val="20"/>
                <w:szCs w:val="20"/>
              </w:rPr>
              <w:t xml:space="preserve">Enter the minimum, </w:t>
            </w:r>
            <w:r w:rsidR="2ACD8729" w:rsidRPr="2589F595">
              <w:rPr>
                <w:rFonts w:ascii="Verdana" w:hAnsi="Verdana" w:cs="Times New Roman"/>
                <w:sz w:val="20"/>
                <w:szCs w:val="20"/>
              </w:rPr>
              <w:t>median</w:t>
            </w:r>
            <w:r w:rsidRPr="2589F595">
              <w:rPr>
                <w:rFonts w:ascii="Verdana" w:hAnsi="Verdana" w:cs="Times New Roman"/>
                <w:sz w:val="20"/>
                <w:szCs w:val="20"/>
              </w:rPr>
              <w:t>, maximum and total amount paid (£) to non-employee sales agents selling plans.</w:t>
            </w:r>
          </w:p>
          <w:p w14:paraId="022A4A48" w14:textId="77777777" w:rsidR="009620A6" w:rsidRDefault="009620A6" w:rsidP="009620A6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</w:p>
          <w:p w14:paraId="2B705119" w14:textId="77777777" w:rsidR="002E1949" w:rsidRPr="002E1949" w:rsidRDefault="002E1949" w:rsidP="002E194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20"/>
                <w:szCs w:val="20"/>
              </w:rPr>
            </w:pPr>
            <w:r w:rsidRPr="002E1949">
              <w:rPr>
                <w:rFonts w:ascii="Verdana" w:hAnsi="Verdana" w:cs="Times New Roman"/>
                <w:sz w:val="20"/>
                <w:szCs w:val="20"/>
              </w:rPr>
              <w:t xml:space="preserve">Include all remuneration received by </w:t>
            </w:r>
            <w:r>
              <w:rPr>
                <w:rFonts w:ascii="Verdana" w:hAnsi="Verdana" w:cs="Times New Roman"/>
                <w:sz w:val="20"/>
                <w:szCs w:val="20"/>
              </w:rPr>
              <w:t>non-</w:t>
            </w:r>
            <w:r w:rsidRPr="002E1949">
              <w:rPr>
                <w:rFonts w:ascii="Verdana" w:hAnsi="Verdana" w:cs="Times New Roman"/>
                <w:sz w:val="20"/>
                <w:szCs w:val="20"/>
              </w:rPr>
              <w:t>employees, including any variable remuneration such as bonuses, commissions or performance-based pay. Include share-based remuneration, options and the monetary value of benefits in kind.</w:t>
            </w:r>
          </w:p>
          <w:p w14:paraId="0EE3F49E" w14:textId="77777777" w:rsidR="00165E92" w:rsidRDefault="00165E92" w:rsidP="002E19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5E92" w14:paraId="4B6F14C3" w14:textId="77777777" w:rsidTr="2589F595">
        <w:tc>
          <w:tcPr>
            <w:tcW w:w="988" w:type="dxa"/>
          </w:tcPr>
          <w:p w14:paraId="68395AB9" w14:textId="38D57342" w:rsidR="00165E92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543" w:type="dxa"/>
          </w:tcPr>
          <w:p w14:paraId="7B5A56CD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How many sales by non-employee sales agents does this cover?</w:t>
            </w:r>
          </w:p>
          <w:p w14:paraId="53C0F061" w14:textId="77777777" w:rsidR="00165E92" w:rsidRP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2BD2A776" w14:textId="77777777" w:rsidR="00165E92" w:rsidRDefault="00A466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 number of plans</w:t>
            </w:r>
            <w:r w:rsidR="00181A7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65E92" w14:paraId="6C46E4DF" w14:textId="77777777" w:rsidTr="2589F595">
        <w:tc>
          <w:tcPr>
            <w:tcW w:w="988" w:type="dxa"/>
          </w:tcPr>
          <w:p w14:paraId="7F7C4DD5" w14:textId="6FB38629" w:rsidR="00165E92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543" w:type="dxa"/>
          </w:tcPr>
          <w:p w14:paraId="5EC2F224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Level of upfront admin charges/fees (£) (including those withdrawn from trusts)?</w:t>
            </w:r>
          </w:p>
          <w:p w14:paraId="77D04264" w14:textId="77777777" w:rsidR="00165E92" w:rsidRP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B8FE513" w14:textId="1C930B9F" w:rsidR="009620A6" w:rsidRDefault="009620A6" w:rsidP="2589F595">
            <w:pPr>
              <w:rPr>
                <w:rFonts w:ascii="Verdana" w:hAnsi="Verdana" w:cs="Times New Roman"/>
                <w:sz w:val="20"/>
                <w:szCs w:val="20"/>
              </w:rPr>
            </w:pPr>
            <w:r w:rsidRPr="2589F595">
              <w:rPr>
                <w:rFonts w:ascii="Verdana" w:hAnsi="Verdana"/>
                <w:sz w:val="20"/>
                <w:szCs w:val="20"/>
              </w:rPr>
              <w:t xml:space="preserve">Enter the </w:t>
            </w:r>
            <w:r w:rsidRPr="2589F595">
              <w:rPr>
                <w:rFonts w:ascii="Verdana" w:hAnsi="Verdana" w:cs="Times New Roman"/>
                <w:sz w:val="20"/>
                <w:szCs w:val="20"/>
              </w:rPr>
              <w:t xml:space="preserve">minimum, </w:t>
            </w:r>
            <w:r w:rsidR="11492B4A" w:rsidRPr="2589F595">
              <w:rPr>
                <w:rFonts w:ascii="Verdana" w:hAnsi="Verdana" w:cs="Times New Roman"/>
                <w:sz w:val="20"/>
                <w:szCs w:val="20"/>
              </w:rPr>
              <w:t>median</w:t>
            </w:r>
            <w:r w:rsidRPr="2589F595">
              <w:rPr>
                <w:rFonts w:ascii="Verdana" w:hAnsi="Verdana" w:cs="Times New Roman"/>
                <w:sz w:val="20"/>
                <w:szCs w:val="20"/>
              </w:rPr>
              <w:t>, maximum and total amount of upfront admin charges/fees (£) (including those withdrawn from trusts).</w:t>
            </w:r>
          </w:p>
          <w:p w14:paraId="2A53CF5D" w14:textId="77777777" w:rsidR="00165E92" w:rsidRDefault="009620A6" w:rsidP="009620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</w:tr>
      <w:tr w:rsidR="00165E92" w14:paraId="4C5EEA7B" w14:textId="77777777" w:rsidTr="2589F595">
        <w:tc>
          <w:tcPr>
            <w:tcW w:w="988" w:type="dxa"/>
          </w:tcPr>
          <w:p w14:paraId="76C720CA" w14:textId="552ED545" w:rsidR="00165E92" w:rsidRDefault="002C4A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543" w:type="dxa"/>
          </w:tcPr>
          <w:p w14:paraId="5041E73C" w14:textId="77777777" w:rsidR="00165E92" w:rsidRDefault="00165E92">
            <w:pPr>
              <w:rPr>
                <w:rFonts w:ascii="Verdana" w:hAnsi="Verdana"/>
                <w:sz w:val="20"/>
                <w:szCs w:val="20"/>
              </w:rPr>
            </w:pPr>
            <w:r w:rsidRPr="00165E92">
              <w:rPr>
                <w:rFonts w:ascii="Verdana" w:hAnsi="Verdana"/>
                <w:sz w:val="20"/>
                <w:szCs w:val="20"/>
              </w:rPr>
              <w:t>Level of any ongoing admin charges/fees (£) (including those withdrawn from trusts)?</w:t>
            </w:r>
          </w:p>
          <w:p w14:paraId="0B50BA66" w14:textId="77777777" w:rsidR="00165E92" w:rsidRPr="00165E92" w:rsidRDefault="00165E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6E01634" w14:textId="241A23BF" w:rsidR="00165E92" w:rsidRDefault="009620A6" w:rsidP="2589F595">
            <w:pPr>
              <w:rPr>
                <w:rFonts w:ascii="Verdana" w:hAnsi="Verdana" w:cs="Times New Roman"/>
                <w:sz w:val="20"/>
                <w:szCs w:val="20"/>
              </w:rPr>
            </w:pPr>
            <w:r w:rsidRPr="2589F595">
              <w:rPr>
                <w:rFonts w:ascii="Verdana" w:hAnsi="Verdana"/>
                <w:sz w:val="20"/>
                <w:szCs w:val="20"/>
              </w:rPr>
              <w:t xml:space="preserve">Enter the </w:t>
            </w:r>
            <w:r w:rsidRPr="2589F595">
              <w:rPr>
                <w:rFonts w:ascii="Verdana" w:hAnsi="Verdana" w:cs="Times New Roman"/>
                <w:sz w:val="20"/>
                <w:szCs w:val="20"/>
              </w:rPr>
              <w:t xml:space="preserve">minimum, </w:t>
            </w:r>
            <w:r w:rsidR="1BEC6177" w:rsidRPr="2589F595">
              <w:rPr>
                <w:rFonts w:ascii="Verdana" w:eastAsia="Verdana" w:hAnsi="Verdana" w:cs="Verdana"/>
                <w:color w:val="000000" w:themeColor="text1"/>
                <w:sz w:val="19"/>
                <w:szCs w:val="19"/>
              </w:rPr>
              <w:t>median</w:t>
            </w:r>
            <w:r w:rsidRPr="2589F595">
              <w:rPr>
                <w:rFonts w:ascii="Verdana" w:hAnsi="Verdana" w:cs="Times New Roman"/>
                <w:sz w:val="20"/>
                <w:szCs w:val="20"/>
              </w:rPr>
              <w:t>, maximum and total amount of any ongoing admin charges/fees (£) (including those withdrawn from trusts).</w:t>
            </w:r>
          </w:p>
          <w:p w14:paraId="5C4B35E1" w14:textId="79993DAD" w:rsidR="00EE62B1" w:rsidRDefault="00EE62B1" w:rsidP="00036C2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56402E" w14:textId="77777777" w:rsidR="008753F8" w:rsidRPr="00D17B74" w:rsidRDefault="008753F8">
      <w:pPr>
        <w:rPr>
          <w:rFonts w:ascii="Verdana" w:hAnsi="Verdana"/>
          <w:sz w:val="20"/>
          <w:szCs w:val="20"/>
        </w:rPr>
      </w:pPr>
    </w:p>
    <w:sectPr w:rsidR="008753F8" w:rsidRPr="00D17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01"/>
    <w:rsid w:val="000270C4"/>
    <w:rsid w:val="00031F97"/>
    <w:rsid w:val="00036C27"/>
    <w:rsid w:val="00081E65"/>
    <w:rsid w:val="000979AF"/>
    <w:rsid w:val="0014784E"/>
    <w:rsid w:val="00165E92"/>
    <w:rsid w:val="00181A70"/>
    <w:rsid w:val="001A3D65"/>
    <w:rsid w:val="001A4C19"/>
    <w:rsid w:val="001C195B"/>
    <w:rsid w:val="001D19F1"/>
    <w:rsid w:val="001D5ED8"/>
    <w:rsid w:val="0024238B"/>
    <w:rsid w:val="00290D2F"/>
    <w:rsid w:val="002C2790"/>
    <w:rsid w:val="002C4AA4"/>
    <w:rsid w:val="002E1949"/>
    <w:rsid w:val="002F2783"/>
    <w:rsid w:val="002F46B8"/>
    <w:rsid w:val="00362B27"/>
    <w:rsid w:val="0038370C"/>
    <w:rsid w:val="00397D02"/>
    <w:rsid w:val="003B19D3"/>
    <w:rsid w:val="004100CE"/>
    <w:rsid w:val="0041058A"/>
    <w:rsid w:val="00475BB6"/>
    <w:rsid w:val="004B3F2E"/>
    <w:rsid w:val="00500396"/>
    <w:rsid w:val="0051516C"/>
    <w:rsid w:val="00521DAB"/>
    <w:rsid w:val="00565266"/>
    <w:rsid w:val="005F04A6"/>
    <w:rsid w:val="006350F5"/>
    <w:rsid w:val="006A196F"/>
    <w:rsid w:val="006D5914"/>
    <w:rsid w:val="00715D19"/>
    <w:rsid w:val="00823404"/>
    <w:rsid w:val="00871A91"/>
    <w:rsid w:val="008753F8"/>
    <w:rsid w:val="008E1F80"/>
    <w:rsid w:val="00903312"/>
    <w:rsid w:val="00922672"/>
    <w:rsid w:val="009620A6"/>
    <w:rsid w:val="009D2C69"/>
    <w:rsid w:val="009E4F45"/>
    <w:rsid w:val="00A466CE"/>
    <w:rsid w:val="00AB1ABF"/>
    <w:rsid w:val="00AC0CC9"/>
    <w:rsid w:val="00AD6797"/>
    <w:rsid w:val="00AD72A9"/>
    <w:rsid w:val="00B4669D"/>
    <w:rsid w:val="00B824FC"/>
    <w:rsid w:val="00BA5D53"/>
    <w:rsid w:val="00BA7E7C"/>
    <w:rsid w:val="00BF2DB1"/>
    <w:rsid w:val="00C04CE6"/>
    <w:rsid w:val="00C1198D"/>
    <w:rsid w:val="00C11C85"/>
    <w:rsid w:val="00C45E72"/>
    <w:rsid w:val="00C70C4C"/>
    <w:rsid w:val="00CD1558"/>
    <w:rsid w:val="00D17B74"/>
    <w:rsid w:val="00D42273"/>
    <w:rsid w:val="00D85C2F"/>
    <w:rsid w:val="00DC0419"/>
    <w:rsid w:val="00DE36BE"/>
    <w:rsid w:val="00E9707E"/>
    <w:rsid w:val="00EC06E1"/>
    <w:rsid w:val="00EE62B1"/>
    <w:rsid w:val="00F05436"/>
    <w:rsid w:val="00F253CB"/>
    <w:rsid w:val="00F3471A"/>
    <w:rsid w:val="00F71C01"/>
    <w:rsid w:val="00FC0809"/>
    <w:rsid w:val="00FC4335"/>
    <w:rsid w:val="00FF3E6D"/>
    <w:rsid w:val="11492B4A"/>
    <w:rsid w:val="1BEC6177"/>
    <w:rsid w:val="2589F595"/>
    <w:rsid w:val="2ACD8729"/>
    <w:rsid w:val="2F5448E6"/>
    <w:rsid w:val="2FD34DCD"/>
    <w:rsid w:val="3EBC1FAD"/>
    <w:rsid w:val="6D40800E"/>
    <w:rsid w:val="7AE38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C88E"/>
  <w15:chartTrackingRefBased/>
  <w15:docId w15:val="{7B0EEB1C-1F9F-4508-9BA9-1EB51A73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tended">
    <w:name w:val="extended"/>
    <w:basedOn w:val="DefaultParagraphFont"/>
    <w:rsid w:val="00F71C01"/>
  </w:style>
  <w:style w:type="table" w:styleId="TableGrid">
    <w:name w:val="Table Grid"/>
    <w:basedOn w:val="TableNormal"/>
    <w:uiPriority w:val="39"/>
    <w:rsid w:val="0087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E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5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3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4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andbook.fca.org.uk/handbook/glossary/G2974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andbook.fca.org.uk/handbook/glossary/G430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handbook.fca.org.uk/handbook/glossary/G2974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handbook.fca.org.uk/handbook/glossary/G3567r.html" TargetMode="External"/><Relationship Id="rId10" Type="http://schemas.openxmlformats.org/officeDocument/2006/relationships/hyperlink" Target="https://www.handbook.fca.org.uk/handbook/glossary/G2974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andbook.fca.org.uk/handbook/glossary/G2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igital Services Project Document" ma:contentTypeID="0x0101005A9549D9A06FAF49B2796176C16A6E110E0300B10E10EFD2482749A5370729FF82732F" ma:contentTypeVersion="117" ma:contentTypeDescription="Digital Services Project Document" ma:contentTypeScope="" ma:versionID="e4a347249f7fe8c7a4414985b921ace0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c77035d9-9dc5-4806-a7ac-7fc660300c3e" targetNamespace="http://schemas.microsoft.com/office/2006/metadata/properties" ma:root="true" ma:fieldsID="5b917f209ddf76b4d958b168582c2d9e" ns1:_="" ns2:_="" ns3:_="">
    <xsd:import namespace="http://schemas.microsoft.com/sharepoint/v3"/>
    <xsd:import namespace="964f0a7c-bcf0-4337-b577-3747e0a5c4bc"/>
    <xsd:import namespace="c77035d9-9dc5-4806-a7ac-7fc660300c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i7382953a7c14d49b483126af46f0dd6" minOccurs="0"/>
                <xsd:element ref="ns2:j863df97efa040da9c8165feb4e31e75" minOccurs="0"/>
                <xsd:element ref="ns2:kb78ecf289e843dd902f09853b2b2261" minOccurs="0"/>
                <xsd:element ref="ns3:n5d298318bf84df1a5abce2fe3c5d466" minOccurs="0"/>
                <xsd:element ref="ns3:m35f0cf4621c4df88fa334671c69b5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5" nillable="true" ma:displayName="Source" ma:internalName="fca_mig_source">
      <xsd:simpleType>
        <xsd:restriction base="dms:Text"/>
      </xsd:simpleType>
    </xsd:element>
    <xsd:element name="fca_mig_full_path" ma:index="16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7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18" nillable="true" ma:displayName="Livelink Object Id" ma:internalName="fca_livelink_obj_id">
      <xsd:simpleType>
        <xsd:restriction base="dms:Text"/>
      </xsd:simpleType>
    </xsd:element>
    <xsd:element name="fca_mig_date" ma:index="19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0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1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2" nillable="true" ma:displayName="Records Status" ma:internalName="fca_livelink_recstatus">
      <xsd:simpleType>
        <xsd:restriction base="dms:Text"/>
      </xsd:simpleType>
    </xsd:element>
    <xsd:element name="fca_livelink_recstatus_date" ma:index="23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a432f1c-8876-450f-a959-5dd3914b2d45}" ma:internalName="TaxCatchAll" ma:showField="CatchAllData" ma:web="c77035d9-9dc5-4806-a7ac-7fc660300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a432f1c-8876-450f-a959-5dd3914b2d45}" ma:internalName="TaxCatchAllLabel" ma:readOnly="true" ma:showField="CatchAllDataLabel" ma:web="c77035d9-9dc5-4806-a7ac-7fc660300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hidden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i7382953a7c14d49b483126af46f0dd6" ma:index="24" ma:taxonomy="true" ma:internalName="i7382953a7c14d49b483126af46f0dd6" ma:taxonomyFieldName="fca_document_purpose" ma:displayName="Document Purpose" ma:default="0;#Project ＆ Portfolio Management|e9ab2795-4d7f-4cd1-ada8-509538d933b6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63df97efa040da9c8165feb4e31e75" ma:index="25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8ecf289e843dd902f09853b2b2261" ma:index="26" ma:taxonomy="true" ma:internalName="kb78ecf289e843dd902f09853b2b2261" ma:taxonomyFieldName="fca_project_status_txnmy" ma:displayName="Project Status" ma:default="0;#Open|7fa14611-0723-4064-a4f8-e1c28255eca8" ma:fieldId="{4b78ecf2-89e8-43dd-902f-09853b2b2261}" ma:sspId="141bad0b-5ec6-4ecd-811e-f9d8ff358b9c" ma:termSetId="872fc7b5-22b4-4f93-89e4-6e151d828d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035d9-9dc5-4806-a7ac-7fc660300c3e" elementFormDefault="qualified">
    <xsd:import namespace="http://schemas.microsoft.com/office/2006/documentManagement/types"/>
    <xsd:import namespace="http://schemas.microsoft.com/office/infopath/2007/PartnerControls"/>
    <xsd:element name="n5d298318bf84df1a5abce2fe3c5d466" ma:index="28" ma:taxonomy="true" ma:internalName="n5d298318bf84df1a5abce2fe3c5d466" ma:taxonomyFieldName="fca_proj_phase" ma:displayName="Phase" ma:default="0;#Project Delivery|e75520af-2b50-426d-b275-964da6777396" ma:fieldId="{75d29831-8bf8-4df1-a5ab-ce2fe3c5d466}" ma:sspId="141bad0b-5ec6-4ecd-811e-f9d8ff358b9c" ma:termSetId="71c8e3f2-680e-43ab-84e2-764103e605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5f0cf4621c4df88fa334671c69b596" ma:index="30" ma:taxonomy="true" ma:internalName="m35f0cf4621c4df88fa334671c69b596" ma:taxonomyFieldName="fca_proj_activity" ma:displayName="Project Activity" ma:readOnly="false" ma:fieldId="{635f0cf4-621c-4df8-8fa3-34671c69b596}" ma:sspId="141bad0b-5ec6-4ecd-811e-f9d8ff358b9c" ma:termSetId="d838ddfe-3615-4bc0-96ef-6db16c162e1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41bad0b-5ec6-4ecd-811e-f9d8ff358b9c" ContentTypeId="0x0101005A9549D9A06FAF49B2796176C16A6E110E03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＆ Portfolio Management</TermName>
          <TermId xmlns="http://schemas.microsoft.com/office/infopath/2007/PartnerControls">e9ab2795-4d7f-4cd1-ada8-509538d933b6</TermId>
        </TermInfo>
      </Terms>
    </i7382953a7c14d49b483126af46f0dd6>
    <n5d298318bf84df1a5abce2fe3c5d466 xmlns="c77035d9-9dc5-4806-a7ac-7fc660300c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Delivery</TermName>
          <TermId xmlns="http://schemas.microsoft.com/office/infopath/2007/PartnerControls">e75520af-2b50-426d-b275-964da6777396</TermId>
        </TermInfo>
      </Terms>
    </n5d298318bf84df1a5abce2fe3c5d466>
    <fca_livelink_obj_id xmlns="http://schemas.microsoft.com/sharepoint/v3" xsi:nil="true"/>
    <fca_mig_source xmlns="http://schemas.microsoft.com/sharepoint/v3" xsi:nil="true"/>
    <fca_livelink_description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full_path xmlns="http://schemas.microsoft.com/sharepoint/v3" xsi:nil="true"/>
    <TaxCatchAll xmlns="964f0a7c-bcf0-4337-b577-3747e0a5c4bc">
      <Value>66</Value>
      <Value>81</Value>
      <Value>9</Value>
      <Value>91</Value>
      <Value>4</Value>
      <Value>151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kb78ecf289e843dd902f09853b2b2261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7fa14611-0723-4064-a4f8-e1c28255eca8</TermId>
        </TermInfo>
      </Terms>
    </kb78ecf289e843dd902f09853b2b2261>
    <fca_mig_partial_path xmlns="http://schemas.microsoft.com/sharepoint/v3" xsi:nil="true"/>
    <m35f0cf4621c4df88fa334671c69b596 xmlns="c77035d9-9dc5-4806-a7ac-7fc660300c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Workstreams</TermName>
          <TermId xmlns="http://schemas.microsoft.com/office/infopath/2007/PartnerControls">f8ff127f-3d89-49f6-8cff-1c25b9197574</TermId>
        </TermInfo>
      </Terms>
    </m35f0cf4621c4df88fa334671c69b596>
    <_dlc_DocId xmlns="964f0a7c-bcf0-4337-b577-3747e0a5c4bc">VA6TWXEP6WTQ-694927341-207</_dlc_DocId>
    <_dlc_DocIdPersistId xmlns="964f0a7c-bcf0-4337-b577-3747e0a5c4bc">true</_dlc_DocIdPersistId>
    <_dlc_DocIdUrl xmlns="964f0a7c-bcf0-4337-b577-3747e0a5c4bc">
      <Url>https://thefca.sharepoint.com/sites/ProProandPor/_layouts/15/DocIdRedir.aspx?ID=VA6TWXEP6WTQ-694927341-207</Url>
      <Description>VA6TWXEP6WTQ-694927341-207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6B62-BEF8-4AE8-8905-017036430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c77035d9-9dc5-4806-a7ac-7fc660300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64B13-4A50-4F3F-A800-5139992A95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257F10-5562-4A5C-944D-7554283E4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4BA27-F064-4AEB-8B91-CA675F773D7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ABF1637-BDC8-450E-9AA0-66617B0C768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964f0a7c-bcf0-4337-b577-3747e0a5c4bc"/>
    <ds:schemaRef ds:uri="http://schemas.microsoft.com/office/2006/documentManagement/types"/>
    <ds:schemaRef ds:uri="http://schemas.microsoft.com/sharepoint/v3"/>
    <ds:schemaRef ds:uri="c77035d9-9dc5-4806-a7ac-7fc660300c3e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0708A10-F766-4D15-9BAC-A604B2DF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1629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Thompson</dc:creator>
  <cp:keywords/>
  <dc:description/>
  <cp:lastModifiedBy>Ayesha Dayaji</cp:lastModifiedBy>
  <cp:revision>2</cp:revision>
  <dcterms:created xsi:type="dcterms:W3CDTF">2021-06-24T12:56:00Z</dcterms:created>
  <dcterms:modified xsi:type="dcterms:W3CDTF">2021-06-24T12:56:00Z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0x0101005A9549D9A06FAF49B2796176C16A6E110E0300B10E10EFD2482749A5370729FF82732F</vt:lpwstr>
  </property>
  <property fmtid="{D5CDD505-2E9C-101B-9397-08002B2CF9AE}" pid="3" name="fca_project_status_txnmy">
    <vt:lpwstr>66;#Open|7fa14611-0723-4064-a4f8-e1c28255eca8</vt:lpwstr>
  </property>
  <property fmtid="{D5CDD505-2E9C-101B-9397-08002B2CF9AE}" pid="4" name="fca_document_purpose">
    <vt:lpwstr>81;#Project ＆ Portfolio Management|e9ab2795-4d7f-4cd1-ada8-509538d933b6</vt:lpwstr>
  </property>
  <property fmtid="{D5CDD505-2E9C-101B-9397-08002B2CF9AE}" pid="5" name="fca_proj_phase">
    <vt:lpwstr>91;#Project Delivery|e75520af-2b50-426d-b275-964da6777396</vt:lpwstr>
  </property>
  <property fmtid="{D5CDD505-2E9C-101B-9397-08002B2CF9AE}" pid="6" name="_dlc_DocIdItemGuid">
    <vt:lpwstr>9ff922b4-d752-4d17-bbf4-bb72bd9b5756</vt:lpwstr>
  </property>
  <property fmtid="{D5CDD505-2E9C-101B-9397-08002B2CF9AE}" pid="7" name="fca_information_classification">
    <vt:lpwstr>4;#FCA Official|d07129ec-4894-4cda-af0c-a925cb68d6e3</vt:lpwstr>
  </property>
  <property fmtid="{D5CDD505-2E9C-101B-9397-08002B2CF9AE}" pid="8" name="fca_proj_prog_activity">
    <vt:lpwstr/>
  </property>
  <property fmtid="{D5CDD505-2E9C-101B-9397-08002B2CF9AE}" pid="9" name="fca_status">
    <vt:lpwstr>DMT Global|Status|Open</vt:lpwstr>
  </property>
  <property fmtid="{D5CDD505-2E9C-101B-9397-08002B2CF9AE}" pid="10" name="fca_proj_activity">
    <vt:lpwstr>151;#Business Workstreams|f8ff127f-3d89-49f6-8cff-1c25b9197574</vt:lpwstr>
  </property>
  <property fmtid="{D5CDD505-2E9C-101B-9397-08002B2CF9AE}" pid="11" name="acceff7b5867498bae799419d4e9695f">
    <vt:lpwstr/>
  </property>
  <property fmtid="{D5CDD505-2E9C-101B-9397-08002B2CF9AE}" pid="12" name="g5d988577666443dadbf0ee0cbed2ad8">
    <vt:lpwstr>Open|1619fc58-fb0f-4b09-b8fb-cc7e9506222a</vt:lpwstr>
  </property>
  <property fmtid="{D5CDD505-2E9C-101B-9397-08002B2CF9AE}" pid="13" name="fca_status_txnmy">
    <vt:lpwstr>9;#Open|1619fc58-fb0f-4b09-b8fb-cc7e9506222a</vt:lpwstr>
  </property>
</Properties>
</file>