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9"/>
        <w:tblW w:w="9245" w:type="dxa"/>
        <w:tblLayout w:type="fixed"/>
        <w:tblLook w:val="01E0" w:firstRow="1" w:lastRow="1" w:firstColumn="1" w:lastColumn="1" w:noHBand="0" w:noVBand="0"/>
      </w:tblPr>
      <w:tblGrid>
        <w:gridCol w:w="9245"/>
      </w:tblGrid>
      <w:tr w:rsidR="006A73BF" w:rsidRPr="006A73BF" w14:paraId="24BA52F6" w14:textId="77777777" w:rsidTr="00CF1F59">
        <w:tc>
          <w:tcPr>
            <w:tcW w:w="9245" w:type="dxa"/>
          </w:tcPr>
          <w:p w14:paraId="2EF5BF58" w14:textId="77777777" w:rsidR="006A73BF" w:rsidRPr="006A73BF" w:rsidRDefault="006A73BF" w:rsidP="00CF1F59">
            <w:pPr>
              <w:spacing w:after="120"/>
              <w:rPr>
                <w:rFonts w:ascii="Arial" w:hAnsi="Arial" w:cs="Arial"/>
                <w:sz w:val="20"/>
                <w:szCs w:val="20"/>
              </w:rPr>
            </w:pPr>
            <w:r w:rsidRPr="006A73BF">
              <w:rPr>
                <w:rFonts w:ascii="Arial" w:hAnsi="Arial" w:cs="Arial"/>
                <w:sz w:val="20"/>
                <w:szCs w:val="20"/>
              </w:rPr>
              <w:t xml:space="preserve">This table belongs to </w:t>
            </w:r>
            <w:r w:rsidRPr="006A73BF">
              <w:rPr>
                <w:rFonts w:ascii="Arial" w:hAnsi="Arial" w:cs="Arial"/>
                <w:i/>
                <w:sz w:val="20"/>
                <w:szCs w:val="20"/>
              </w:rPr>
              <w:t xml:space="preserve">DISP </w:t>
            </w:r>
            <w:r w:rsidRPr="006A73BF">
              <w:rPr>
                <w:rFonts w:ascii="Arial" w:hAnsi="Arial" w:cs="Arial"/>
                <w:sz w:val="20"/>
                <w:szCs w:val="20"/>
              </w:rPr>
              <w:t>1.10A.2R.</w:t>
            </w:r>
          </w:p>
        </w:tc>
      </w:tr>
    </w:tbl>
    <w:p w14:paraId="1B0D5F7E" w14:textId="77777777" w:rsidR="00E06AEC" w:rsidRPr="006A73BF" w:rsidRDefault="00B96E18">
      <w:pPr>
        <w:pStyle w:val="Default"/>
        <w:rPr>
          <w:rFonts w:ascii="Arial" w:hAnsi="Arial" w:cs="Arial"/>
          <w:color w:val="auto"/>
          <w:sz w:val="20"/>
          <w:szCs w:val="20"/>
        </w:rPr>
      </w:pPr>
      <w:r w:rsidRPr="006A73BF">
        <w:rPr>
          <w:rFonts w:ascii="Arial" w:hAnsi="Arial" w:cs="Arial"/>
          <w:b/>
          <w:bCs/>
          <w:color w:val="auto"/>
          <w:sz w:val="20"/>
          <w:szCs w:val="20"/>
        </w:rPr>
        <w:t xml:space="preserve">Complaints publication report </w:t>
      </w:r>
    </w:p>
    <w:p w14:paraId="6B151A1F" w14:textId="77777777" w:rsidR="00E06AEC" w:rsidRPr="006A73BF" w:rsidRDefault="00E06AEC">
      <w:pPr>
        <w:pStyle w:val="Default"/>
        <w:rPr>
          <w:rFonts w:ascii="Arial" w:hAnsi="Arial" w:cs="Arial"/>
          <w:color w:val="auto"/>
          <w:sz w:val="20"/>
          <w:szCs w:val="20"/>
        </w:rPr>
      </w:pPr>
    </w:p>
    <w:p w14:paraId="2397FDB1" w14:textId="77777777" w:rsidR="00E06AEC" w:rsidRPr="006A73BF" w:rsidRDefault="00B96E18">
      <w:pPr>
        <w:pStyle w:val="Heading2"/>
        <w:rPr>
          <w:rFonts w:ascii="Arial" w:hAnsi="Arial" w:cs="Arial"/>
          <w:sz w:val="20"/>
          <w:szCs w:val="20"/>
        </w:rPr>
      </w:pPr>
      <w:r w:rsidRPr="006A73BF">
        <w:rPr>
          <w:rFonts w:ascii="Arial" w:hAnsi="Arial" w:cs="Arial"/>
          <w:b/>
          <w:bCs/>
          <w:sz w:val="20"/>
          <w:szCs w:val="20"/>
        </w:rPr>
        <w:t xml:space="preserve">Firm name: ……………… </w:t>
      </w:r>
    </w:p>
    <w:p w14:paraId="18EC2E78" w14:textId="77777777" w:rsidR="00E06AEC" w:rsidRPr="006A73BF" w:rsidRDefault="00B96E18">
      <w:pPr>
        <w:pStyle w:val="Default"/>
        <w:rPr>
          <w:rFonts w:ascii="Arial" w:hAnsi="Arial" w:cs="Arial"/>
          <w:color w:val="auto"/>
          <w:sz w:val="20"/>
          <w:szCs w:val="20"/>
        </w:rPr>
      </w:pPr>
      <w:r w:rsidRPr="006A73BF">
        <w:rPr>
          <w:rFonts w:ascii="Arial" w:hAnsi="Arial" w:cs="Arial"/>
          <w:b/>
          <w:bCs/>
          <w:color w:val="auto"/>
          <w:sz w:val="20"/>
          <w:szCs w:val="20"/>
        </w:rPr>
        <w:t xml:space="preserve">Group: (if applicable): ……………….. </w:t>
      </w:r>
    </w:p>
    <w:p w14:paraId="37BF69CA" w14:textId="77777777" w:rsidR="00E06AEC" w:rsidRPr="006A73BF" w:rsidRDefault="00B96E18">
      <w:pPr>
        <w:pStyle w:val="Default"/>
        <w:rPr>
          <w:rFonts w:ascii="Arial" w:hAnsi="Arial" w:cs="Arial"/>
          <w:color w:val="auto"/>
          <w:sz w:val="20"/>
          <w:szCs w:val="20"/>
        </w:rPr>
      </w:pPr>
      <w:r w:rsidRPr="006A73BF">
        <w:rPr>
          <w:rFonts w:ascii="Arial" w:hAnsi="Arial" w:cs="Arial"/>
          <w:b/>
          <w:bCs/>
          <w:color w:val="auto"/>
          <w:sz w:val="20"/>
          <w:szCs w:val="20"/>
        </w:rPr>
        <w:t xml:space="preserve">Other firms included in this report (if any): ……………… </w:t>
      </w:r>
    </w:p>
    <w:p w14:paraId="454A4D10" w14:textId="77777777" w:rsidR="00E06AEC" w:rsidRPr="006A73BF" w:rsidRDefault="00B96E18">
      <w:pPr>
        <w:pStyle w:val="Default"/>
        <w:rPr>
          <w:rFonts w:ascii="Arial" w:hAnsi="Arial" w:cs="Arial"/>
          <w:color w:val="auto"/>
          <w:sz w:val="20"/>
          <w:szCs w:val="20"/>
        </w:rPr>
      </w:pPr>
      <w:r w:rsidRPr="006A73BF">
        <w:rPr>
          <w:rFonts w:ascii="Arial" w:hAnsi="Arial" w:cs="Arial"/>
          <w:b/>
          <w:bCs/>
          <w:color w:val="auto"/>
          <w:sz w:val="20"/>
          <w:szCs w:val="20"/>
        </w:rPr>
        <w:t xml:space="preserve">Period covered in this report: [e.g. 1 January – 30 June 2015 or 1 January – 31 December 2015] </w:t>
      </w:r>
    </w:p>
    <w:p w14:paraId="4E7B411E" w14:textId="77777777" w:rsidR="00CF1F59" w:rsidRDefault="00B96E18" w:rsidP="006A73BF">
      <w:pPr>
        <w:pStyle w:val="Default"/>
        <w:rPr>
          <w:rFonts w:ascii="Arial" w:hAnsi="Arial" w:cs="Arial"/>
          <w:b/>
          <w:bCs/>
          <w:color w:val="auto"/>
          <w:sz w:val="20"/>
          <w:szCs w:val="20"/>
        </w:rPr>
      </w:pPr>
      <w:r w:rsidRPr="006A73BF">
        <w:rPr>
          <w:rFonts w:ascii="Arial" w:hAnsi="Arial" w:cs="Arial"/>
          <w:b/>
          <w:bCs/>
          <w:color w:val="auto"/>
          <w:sz w:val="20"/>
          <w:szCs w:val="20"/>
        </w:rPr>
        <w:t>Brands/trading names covered: ……………………</w:t>
      </w:r>
    </w:p>
    <w:p w14:paraId="697E01B9" w14:textId="77777777" w:rsidR="006A73BF" w:rsidRPr="00CF1F59" w:rsidRDefault="00B96E18" w:rsidP="006A73BF">
      <w:pPr>
        <w:pStyle w:val="Default"/>
        <w:rPr>
          <w:rFonts w:ascii="Arial" w:hAnsi="Arial" w:cs="Arial"/>
          <w:b/>
          <w:bCs/>
          <w:color w:val="auto"/>
          <w:sz w:val="20"/>
          <w:szCs w:val="20"/>
        </w:rPr>
      </w:pPr>
      <w:r w:rsidRPr="006A73BF">
        <w:rPr>
          <w:rFonts w:ascii="Arial" w:hAnsi="Arial" w:cs="Arial"/>
          <w:b/>
          <w:bCs/>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1434"/>
        <w:gridCol w:w="1279"/>
        <w:gridCol w:w="837"/>
        <w:gridCol w:w="837"/>
        <w:gridCol w:w="837"/>
        <w:gridCol w:w="837"/>
        <w:gridCol w:w="837"/>
        <w:gridCol w:w="833"/>
      </w:tblGrid>
      <w:tr w:rsidR="00844E65" w:rsidRPr="00844E65" w14:paraId="60AF9409" w14:textId="77777777" w:rsidTr="00CF1F59">
        <w:trPr>
          <w:cantSplit/>
          <w:trHeight w:val="622"/>
        </w:trPr>
        <w:tc>
          <w:tcPr>
            <w:tcW w:w="816" w:type="pct"/>
            <w:shd w:val="clear" w:color="auto" w:fill="auto"/>
          </w:tcPr>
          <w:p w14:paraId="221510A4" w14:textId="77777777" w:rsidR="00844E65" w:rsidRPr="00844E65" w:rsidRDefault="00844E65" w:rsidP="0029731C">
            <w:pPr>
              <w:keepNext/>
              <w:spacing w:before="120" w:after="120"/>
              <w:rPr>
                <w:rFonts w:ascii="Arial" w:hAnsi="Arial" w:cs="Arial"/>
                <w:color w:val="000000"/>
                <w:sz w:val="18"/>
                <w:szCs w:val="20"/>
              </w:rPr>
            </w:pPr>
          </w:p>
        </w:tc>
        <w:tc>
          <w:tcPr>
            <w:tcW w:w="1468" w:type="pct"/>
            <w:gridSpan w:val="2"/>
            <w:shd w:val="clear" w:color="auto" w:fill="auto"/>
            <w:vAlign w:val="bottom"/>
          </w:tcPr>
          <w:p w14:paraId="1D2C35C7" w14:textId="77777777" w:rsidR="00844E65" w:rsidRPr="00844E65" w:rsidRDefault="00844E65" w:rsidP="0029731C">
            <w:pPr>
              <w:keepNext/>
              <w:spacing w:before="120" w:after="120"/>
              <w:jc w:val="center"/>
              <w:rPr>
                <w:rFonts w:ascii="Arial" w:hAnsi="Arial" w:cs="Arial"/>
                <w:b/>
                <w:bCs/>
                <w:color w:val="000000"/>
                <w:sz w:val="18"/>
                <w:szCs w:val="20"/>
              </w:rPr>
            </w:pPr>
            <w:r w:rsidRPr="00844E65">
              <w:rPr>
                <w:rFonts w:ascii="Arial" w:hAnsi="Arial" w:cs="Arial"/>
                <w:b/>
                <w:bCs/>
                <w:color w:val="000000"/>
                <w:sz w:val="18"/>
                <w:szCs w:val="20"/>
              </w:rPr>
              <w:t>Number of complaints opened by volume of business</w:t>
            </w:r>
          </w:p>
        </w:tc>
        <w:tc>
          <w:tcPr>
            <w:tcW w:w="2716" w:type="pct"/>
            <w:gridSpan w:val="6"/>
            <w:shd w:val="clear" w:color="auto" w:fill="auto"/>
            <w:textDirection w:val="btLr"/>
          </w:tcPr>
          <w:p w14:paraId="4417D0BC" w14:textId="77777777" w:rsidR="00844E65" w:rsidRPr="00844E65" w:rsidRDefault="00844E65" w:rsidP="0029731C">
            <w:pPr>
              <w:keepNext/>
              <w:spacing w:before="120" w:after="120"/>
              <w:ind w:left="113" w:right="113"/>
              <w:rPr>
                <w:rFonts w:ascii="Arial" w:hAnsi="Arial" w:cs="Arial"/>
                <w:bCs/>
                <w:color w:val="000000"/>
                <w:sz w:val="18"/>
                <w:szCs w:val="20"/>
              </w:rPr>
            </w:pPr>
          </w:p>
        </w:tc>
      </w:tr>
      <w:tr w:rsidR="00844E65" w:rsidRPr="00844E65" w14:paraId="58BB9EED" w14:textId="77777777" w:rsidTr="00CF1F59">
        <w:trPr>
          <w:cantSplit/>
          <w:trHeight w:val="2232"/>
        </w:trPr>
        <w:tc>
          <w:tcPr>
            <w:tcW w:w="816" w:type="pct"/>
            <w:shd w:val="clear" w:color="auto" w:fill="auto"/>
            <w:vAlign w:val="center"/>
            <w:hideMark/>
          </w:tcPr>
          <w:p w14:paraId="4ACF1202" w14:textId="77777777" w:rsidR="00844E65" w:rsidRPr="00844E65" w:rsidRDefault="00844E65" w:rsidP="0029731C">
            <w:pPr>
              <w:keepNext/>
              <w:spacing w:before="120" w:after="120"/>
              <w:jc w:val="center"/>
              <w:rPr>
                <w:rFonts w:ascii="Arial" w:hAnsi="Arial" w:cs="Arial"/>
                <w:b/>
                <w:color w:val="000000"/>
                <w:sz w:val="18"/>
                <w:szCs w:val="20"/>
              </w:rPr>
            </w:pPr>
            <w:r w:rsidRPr="00844E65">
              <w:rPr>
                <w:rFonts w:ascii="Arial" w:hAnsi="Arial" w:cs="Arial"/>
                <w:b/>
                <w:color w:val="000000"/>
                <w:sz w:val="18"/>
                <w:szCs w:val="20"/>
              </w:rPr>
              <w:t>Product / service grouping</w:t>
            </w:r>
          </w:p>
        </w:tc>
        <w:tc>
          <w:tcPr>
            <w:tcW w:w="776" w:type="pct"/>
            <w:shd w:val="clear" w:color="auto" w:fill="auto"/>
            <w:textDirection w:val="btLr"/>
            <w:vAlign w:val="center"/>
            <w:hideMark/>
          </w:tcPr>
          <w:p w14:paraId="04F2B06B" w14:textId="77777777" w:rsidR="00844E65" w:rsidRPr="00844E65" w:rsidRDefault="00844E65" w:rsidP="0029731C">
            <w:pPr>
              <w:keepNext/>
              <w:spacing w:before="120" w:after="120"/>
              <w:ind w:left="113" w:right="113"/>
              <w:rPr>
                <w:rFonts w:ascii="Arial" w:hAnsi="Arial" w:cs="Arial"/>
                <w:b/>
                <w:bCs/>
                <w:color w:val="000000"/>
                <w:sz w:val="18"/>
                <w:szCs w:val="20"/>
              </w:rPr>
            </w:pPr>
            <w:r w:rsidRPr="00844E65">
              <w:rPr>
                <w:rFonts w:ascii="Arial" w:hAnsi="Arial" w:cs="Arial"/>
                <w:b/>
                <w:bCs/>
                <w:color w:val="000000"/>
                <w:sz w:val="18"/>
                <w:szCs w:val="20"/>
              </w:rPr>
              <w:t>Provision (at reporting period end date)</w:t>
            </w:r>
          </w:p>
        </w:tc>
        <w:tc>
          <w:tcPr>
            <w:tcW w:w="692" w:type="pct"/>
            <w:shd w:val="clear" w:color="auto" w:fill="auto"/>
            <w:textDirection w:val="btLr"/>
            <w:vAlign w:val="center"/>
            <w:hideMark/>
          </w:tcPr>
          <w:p w14:paraId="6D66BC9B" w14:textId="77777777" w:rsidR="00844E65" w:rsidRPr="00844E65" w:rsidRDefault="00844E65" w:rsidP="0029731C">
            <w:pPr>
              <w:keepNext/>
              <w:spacing w:before="120" w:after="120"/>
              <w:ind w:left="113" w:right="113"/>
              <w:rPr>
                <w:rFonts w:ascii="Arial" w:hAnsi="Arial" w:cs="Arial"/>
                <w:b/>
                <w:bCs/>
                <w:color w:val="000000"/>
                <w:sz w:val="18"/>
                <w:szCs w:val="20"/>
              </w:rPr>
            </w:pPr>
            <w:r w:rsidRPr="00844E65">
              <w:rPr>
                <w:rFonts w:ascii="Arial" w:hAnsi="Arial" w:cs="Arial"/>
                <w:b/>
                <w:bCs/>
                <w:color w:val="000000"/>
                <w:sz w:val="18"/>
                <w:szCs w:val="20"/>
              </w:rPr>
              <w:t>Intermediation (within the reporting period)</w:t>
            </w:r>
          </w:p>
        </w:tc>
        <w:tc>
          <w:tcPr>
            <w:tcW w:w="453" w:type="pct"/>
            <w:shd w:val="clear" w:color="auto" w:fill="auto"/>
            <w:textDirection w:val="btLr"/>
            <w:vAlign w:val="center"/>
            <w:hideMark/>
          </w:tcPr>
          <w:p w14:paraId="195E67F1" w14:textId="77777777" w:rsidR="00844E65" w:rsidRPr="00844E65" w:rsidRDefault="00844E65" w:rsidP="0029731C">
            <w:pPr>
              <w:keepNext/>
              <w:spacing w:before="120" w:after="120"/>
              <w:ind w:left="113" w:right="113"/>
              <w:rPr>
                <w:rFonts w:ascii="Arial" w:hAnsi="Arial" w:cs="Arial"/>
                <w:b/>
                <w:bCs/>
                <w:color w:val="000000"/>
                <w:sz w:val="18"/>
                <w:szCs w:val="20"/>
              </w:rPr>
            </w:pPr>
            <w:r w:rsidRPr="00844E65">
              <w:rPr>
                <w:rFonts w:ascii="Arial" w:hAnsi="Arial" w:cs="Arial"/>
                <w:b/>
                <w:bCs/>
                <w:color w:val="000000"/>
                <w:sz w:val="18"/>
                <w:szCs w:val="20"/>
              </w:rPr>
              <w:t>Number of complaints opened</w:t>
            </w:r>
          </w:p>
        </w:tc>
        <w:tc>
          <w:tcPr>
            <w:tcW w:w="453" w:type="pct"/>
            <w:shd w:val="clear" w:color="auto" w:fill="auto"/>
            <w:textDirection w:val="btLr"/>
            <w:vAlign w:val="center"/>
            <w:hideMark/>
          </w:tcPr>
          <w:p w14:paraId="55C6561A" w14:textId="77777777" w:rsidR="00844E65" w:rsidRPr="00844E65" w:rsidRDefault="00844E65" w:rsidP="0029731C">
            <w:pPr>
              <w:keepNext/>
              <w:spacing w:before="120" w:after="120"/>
              <w:ind w:left="113" w:right="113"/>
              <w:rPr>
                <w:rFonts w:ascii="Arial" w:hAnsi="Arial" w:cs="Arial"/>
                <w:b/>
                <w:bCs/>
                <w:color w:val="000000"/>
                <w:sz w:val="18"/>
                <w:szCs w:val="20"/>
              </w:rPr>
            </w:pPr>
            <w:r w:rsidRPr="00844E65">
              <w:rPr>
                <w:rFonts w:ascii="Arial" w:hAnsi="Arial" w:cs="Arial"/>
                <w:b/>
                <w:bCs/>
                <w:color w:val="000000"/>
                <w:sz w:val="18"/>
                <w:szCs w:val="20"/>
              </w:rPr>
              <w:t>Number of complaints closed</w:t>
            </w:r>
          </w:p>
        </w:tc>
        <w:tc>
          <w:tcPr>
            <w:tcW w:w="453" w:type="pct"/>
            <w:shd w:val="clear" w:color="auto" w:fill="auto"/>
            <w:textDirection w:val="btLr"/>
            <w:vAlign w:val="center"/>
            <w:hideMark/>
          </w:tcPr>
          <w:p w14:paraId="34E1FD36" w14:textId="77777777" w:rsidR="00844E65" w:rsidRPr="00844E65" w:rsidRDefault="00844E65" w:rsidP="0029731C">
            <w:pPr>
              <w:keepNext/>
              <w:spacing w:before="120" w:after="120"/>
              <w:ind w:left="113" w:right="113"/>
              <w:rPr>
                <w:rFonts w:ascii="Arial" w:hAnsi="Arial" w:cs="Arial"/>
                <w:b/>
                <w:bCs/>
                <w:color w:val="000000"/>
                <w:sz w:val="18"/>
                <w:szCs w:val="20"/>
              </w:rPr>
            </w:pPr>
            <w:r w:rsidRPr="00844E65">
              <w:rPr>
                <w:rFonts w:ascii="Arial" w:hAnsi="Arial" w:cs="Arial"/>
                <w:b/>
                <w:bCs/>
                <w:color w:val="000000"/>
                <w:sz w:val="18"/>
                <w:szCs w:val="20"/>
              </w:rPr>
              <w:t>Percentage closed within 3 days</w:t>
            </w:r>
          </w:p>
        </w:tc>
        <w:tc>
          <w:tcPr>
            <w:tcW w:w="453" w:type="pct"/>
            <w:shd w:val="clear" w:color="auto" w:fill="auto"/>
            <w:textDirection w:val="btLr"/>
            <w:vAlign w:val="center"/>
            <w:hideMark/>
          </w:tcPr>
          <w:p w14:paraId="5CBBCB52" w14:textId="77777777" w:rsidR="00844E65" w:rsidRPr="00844E65" w:rsidRDefault="00844E65" w:rsidP="0029731C">
            <w:pPr>
              <w:keepNext/>
              <w:spacing w:before="120" w:after="120"/>
              <w:ind w:left="113" w:right="113"/>
              <w:rPr>
                <w:rFonts w:ascii="Arial" w:hAnsi="Arial" w:cs="Arial"/>
                <w:b/>
                <w:bCs/>
                <w:color w:val="000000"/>
                <w:sz w:val="18"/>
                <w:szCs w:val="20"/>
              </w:rPr>
            </w:pPr>
            <w:r w:rsidRPr="00844E65">
              <w:rPr>
                <w:rFonts w:ascii="Arial" w:hAnsi="Arial" w:cs="Arial"/>
                <w:b/>
                <w:bCs/>
                <w:color w:val="000000"/>
                <w:sz w:val="18"/>
                <w:szCs w:val="20"/>
              </w:rPr>
              <w:t>Percentage closed after 3 days but within  8 weeks</w:t>
            </w:r>
          </w:p>
        </w:tc>
        <w:tc>
          <w:tcPr>
            <w:tcW w:w="453" w:type="pct"/>
            <w:shd w:val="clear" w:color="auto" w:fill="auto"/>
            <w:textDirection w:val="btLr"/>
            <w:vAlign w:val="center"/>
            <w:hideMark/>
          </w:tcPr>
          <w:p w14:paraId="2B73E64D" w14:textId="77777777" w:rsidR="00844E65" w:rsidRPr="00844E65" w:rsidRDefault="00844E65" w:rsidP="0029731C">
            <w:pPr>
              <w:keepNext/>
              <w:spacing w:before="120" w:after="120"/>
              <w:ind w:left="113" w:right="113"/>
              <w:rPr>
                <w:rFonts w:ascii="Arial" w:hAnsi="Arial" w:cs="Arial"/>
                <w:b/>
                <w:bCs/>
                <w:color w:val="000000"/>
                <w:sz w:val="18"/>
                <w:szCs w:val="20"/>
              </w:rPr>
            </w:pPr>
            <w:r w:rsidRPr="00844E65">
              <w:rPr>
                <w:rFonts w:ascii="Arial" w:hAnsi="Arial" w:cs="Arial"/>
                <w:b/>
                <w:bCs/>
                <w:color w:val="000000"/>
                <w:sz w:val="18"/>
                <w:szCs w:val="20"/>
              </w:rPr>
              <w:t>Percentage upheld</w:t>
            </w:r>
          </w:p>
        </w:tc>
        <w:tc>
          <w:tcPr>
            <w:tcW w:w="452" w:type="pct"/>
            <w:shd w:val="clear" w:color="auto" w:fill="auto"/>
            <w:textDirection w:val="btLr"/>
            <w:vAlign w:val="center"/>
            <w:hideMark/>
          </w:tcPr>
          <w:p w14:paraId="1856E5D3" w14:textId="77777777" w:rsidR="00844E65" w:rsidRPr="00844E65" w:rsidRDefault="00844E65" w:rsidP="0029731C">
            <w:pPr>
              <w:keepNext/>
              <w:spacing w:before="120" w:after="120"/>
              <w:ind w:left="113" w:right="113"/>
              <w:rPr>
                <w:rFonts w:ascii="Arial" w:hAnsi="Arial" w:cs="Arial"/>
                <w:b/>
                <w:bCs/>
                <w:color w:val="000000"/>
                <w:sz w:val="18"/>
                <w:szCs w:val="20"/>
              </w:rPr>
            </w:pPr>
            <w:r w:rsidRPr="00844E65">
              <w:rPr>
                <w:rFonts w:ascii="Arial" w:hAnsi="Arial" w:cs="Arial"/>
                <w:b/>
                <w:bCs/>
                <w:color w:val="000000"/>
                <w:sz w:val="18"/>
                <w:szCs w:val="20"/>
              </w:rPr>
              <w:t>Main cause of complaints opened</w:t>
            </w:r>
          </w:p>
        </w:tc>
      </w:tr>
      <w:tr w:rsidR="00844E65" w:rsidRPr="00844E65" w14:paraId="001C333B" w14:textId="77777777" w:rsidTr="00CF1F59">
        <w:trPr>
          <w:trHeight w:val="1001"/>
        </w:trPr>
        <w:tc>
          <w:tcPr>
            <w:tcW w:w="816" w:type="pct"/>
            <w:shd w:val="clear" w:color="auto" w:fill="auto"/>
            <w:noWrap/>
            <w:vAlign w:val="center"/>
            <w:hideMark/>
          </w:tcPr>
          <w:p w14:paraId="30CCCAAE" w14:textId="77777777" w:rsidR="00844E65" w:rsidRPr="00844E65" w:rsidRDefault="00844E65" w:rsidP="0029731C">
            <w:pPr>
              <w:keepNext/>
              <w:spacing w:before="120" w:after="120"/>
              <w:rPr>
                <w:rFonts w:ascii="Arial" w:hAnsi="Arial" w:cs="Arial"/>
                <w:b/>
                <w:bCs/>
                <w:color w:val="000000"/>
                <w:sz w:val="18"/>
                <w:szCs w:val="20"/>
              </w:rPr>
            </w:pPr>
            <w:r w:rsidRPr="00844E65">
              <w:rPr>
                <w:rFonts w:ascii="Arial" w:hAnsi="Arial" w:cs="Arial"/>
                <w:b/>
                <w:bCs/>
                <w:color w:val="000000"/>
                <w:sz w:val="18"/>
                <w:szCs w:val="20"/>
              </w:rPr>
              <w:t>Banking and credit cards</w:t>
            </w:r>
          </w:p>
        </w:tc>
        <w:tc>
          <w:tcPr>
            <w:tcW w:w="776" w:type="pct"/>
            <w:shd w:val="clear" w:color="auto" w:fill="auto"/>
            <w:noWrap/>
            <w:vAlign w:val="center"/>
            <w:hideMark/>
          </w:tcPr>
          <w:p w14:paraId="3B885438"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per 1000 accounts</w:t>
            </w:r>
          </w:p>
        </w:tc>
        <w:tc>
          <w:tcPr>
            <w:tcW w:w="692" w:type="pct"/>
            <w:shd w:val="clear" w:color="auto" w:fill="auto"/>
            <w:noWrap/>
            <w:vAlign w:val="center"/>
            <w:hideMark/>
          </w:tcPr>
          <w:p w14:paraId="7813CE78"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N/A</w:t>
            </w:r>
          </w:p>
        </w:tc>
        <w:tc>
          <w:tcPr>
            <w:tcW w:w="453" w:type="pct"/>
            <w:shd w:val="clear" w:color="auto" w:fill="auto"/>
            <w:noWrap/>
            <w:vAlign w:val="center"/>
            <w:hideMark/>
          </w:tcPr>
          <w:p w14:paraId="2AE4C18A"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24E18CFF"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7BEADF83"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7C8D8C5D"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5D4EBBA7" w14:textId="77777777" w:rsidR="00844E65" w:rsidRPr="00844E65" w:rsidRDefault="00844E65" w:rsidP="0029731C">
            <w:pPr>
              <w:keepNext/>
              <w:spacing w:before="120" w:after="120"/>
              <w:jc w:val="center"/>
              <w:rPr>
                <w:rFonts w:ascii="Arial" w:hAnsi="Arial" w:cs="Arial"/>
                <w:color w:val="000000"/>
                <w:sz w:val="18"/>
                <w:szCs w:val="20"/>
              </w:rPr>
            </w:pPr>
          </w:p>
        </w:tc>
        <w:tc>
          <w:tcPr>
            <w:tcW w:w="452" w:type="pct"/>
            <w:shd w:val="clear" w:color="auto" w:fill="auto"/>
            <w:noWrap/>
            <w:vAlign w:val="center"/>
            <w:hideMark/>
          </w:tcPr>
          <w:p w14:paraId="3081D6DA" w14:textId="77777777" w:rsidR="00844E65" w:rsidRPr="00844E65" w:rsidRDefault="00844E65" w:rsidP="0029731C">
            <w:pPr>
              <w:keepNext/>
              <w:spacing w:before="120" w:after="120"/>
              <w:jc w:val="center"/>
              <w:rPr>
                <w:rFonts w:ascii="Arial" w:hAnsi="Arial" w:cs="Arial"/>
                <w:color w:val="000000"/>
                <w:sz w:val="18"/>
                <w:szCs w:val="20"/>
              </w:rPr>
            </w:pPr>
          </w:p>
        </w:tc>
      </w:tr>
      <w:tr w:rsidR="00844E65" w:rsidRPr="00844E65" w14:paraId="74A3A98A" w14:textId="77777777" w:rsidTr="00CF1F59">
        <w:trPr>
          <w:trHeight w:val="1115"/>
        </w:trPr>
        <w:tc>
          <w:tcPr>
            <w:tcW w:w="816" w:type="pct"/>
            <w:shd w:val="clear" w:color="auto" w:fill="auto"/>
            <w:noWrap/>
            <w:vAlign w:val="center"/>
            <w:hideMark/>
          </w:tcPr>
          <w:p w14:paraId="54E5FD3A" w14:textId="77777777" w:rsidR="00844E65" w:rsidRPr="00844E65" w:rsidRDefault="00844E65" w:rsidP="0029731C">
            <w:pPr>
              <w:keepNext/>
              <w:spacing w:before="120" w:after="120"/>
              <w:rPr>
                <w:rFonts w:ascii="Arial" w:hAnsi="Arial" w:cs="Arial"/>
                <w:b/>
                <w:bCs/>
                <w:color w:val="000000"/>
                <w:sz w:val="18"/>
                <w:szCs w:val="20"/>
              </w:rPr>
            </w:pPr>
            <w:r w:rsidRPr="00844E65">
              <w:rPr>
                <w:rFonts w:ascii="Arial" w:hAnsi="Arial" w:cs="Arial"/>
                <w:b/>
                <w:bCs/>
                <w:color w:val="000000"/>
                <w:sz w:val="18"/>
                <w:szCs w:val="20"/>
              </w:rPr>
              <w:t>Home finance</w:t>
            </w:r>
          </w:p>
        </w:tc>
        <w:tc>
          <w:tcPr>
            <w:tcW w:w="776" w:type="pct"/>
            <w:shd w:val="clear" w:color="auto" w:fill="auto"/>
            <w:noWrap/>
            <w:vAlign w:val="center"/>
            <w:hideMark/>
          </w:tcPr>
          <w:p w14:paraId="16308D04"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per 1000 balances outstanding</w:t>
            </w:r>
          </w:p>
        </w:tc>
        <w:tc>
          <w:tcPr>
            <w:tcW w:w="692" w:type="pct"/>
            <w:shd w:val="clear" w:color="auto" w:fill="auto"/>
            <w:noWrap/>
            <w:vAlign w:val="center"/>
            <w:hideMark/>
          </w:tcPr>
          <w:p w14:paraId="5F9E8660"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per 1000 sales</w:t>
            </w:r>
          </w:p>
        </w:tc>
        <w:tc>
          <w:tcPr>
            <w:tcW w:w="453" w:type="pct"/>
            <w:shd w:val="clear" w:color="auto" w:fill="auto"/>
            <w:noWrap/>
            <w:vAlign w:val="center"/>
            <w:hideMark/>
          </w:tcPr>
          <w:p w14:paraId="5F960C5B"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1A64E616"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2BDBAA77"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25277438"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75A24BC7" w14:textId="77777777" w:rsidR="00844E65" w:rsidRPr="00844E65" w:rsidRDefault="00844E65" w:rsidP="0029731C">
            <w:pPr>
              <w:keepNext/>
              <w:spacing w:before="120" w:after="120"/>
              <w:jc w:val="center"/>
              <w:rPr>
                <w:rFonts w:ascii="Arial" w:hAnsi="Arial" w:cs="Arial"/>
                <w:color w:val="000000"/>
                <w:sz w:val="18"/>
                <w:szCs w:val="20"/>
              </w:rPr>
            </w:pPr>
          </w:p>
        </w:tc>
        <w:tc>
          <w:tcPr>
            <w:tcW w:w="452" w:type="pct"/>
            <w:shd w:val="clear" w:color="auto" w:fill="auto"/>
            <w:noWrap/>
            <w:vAlign w:val="center"/>
            <w:hideMark/>
          </w:tcPr>
          <w:p w14:paraId="6E41FD69" w14:textId="77777777" w:rsidR="00844E65" w:rsidRPr="00844E65" w:rsidRDefault="00844E65" w:rsidP="0029731C">
            <w:pPr>
              <w:keepNext/>
              <w:spacing w:before="120" w:after="120"/>
              <w:jc w:val="center"/>
              <w:rPr>
                <w:rFonts w:ascii="Arial" w:hAnsi="Arial" w:cs="Arial"/>
                <w:color w:val="000000"/>
                <w:sz w:val="18"/>
                <w:szCs w:val="20"/>
              </w:rPr>
            </w:pPr>
          </w:p>
        </w:tc>
      </w:tr>
      <w:tr w:rsidR="00844E65" w:rsidRPr="00844E65" w14:paraId="1B2B4245" w14:textId="77777777" w:rsidTr="00843ABA">
        <w:trPr>
          <w:trHeight w:val="834"/>
        </w:trPr>
        <w:tc>
          <w:tcPr>
            <w:tcW w:w="816" w:type="pct"/>
            <w:shd w:val="clear" w:color="auto" w:fill="auto"/>
            <w:noWrap/>
            <w:vAlign w:val="center"/>
            <w:hideMark/>
          </w:tcPr>
          <w:p w14:paraId="45AC11D6" w14:textId="77777777" w:rsidR="00844E65" w:rsidRPr="00844E65" w:rsidRDefault="00844E65" w:rsidP="0029731C">
            <w:pPr>
              <w:keepNext/>
              <w:spacing w:before="120" w:after="120"/>
              <w:rPr>
                <w:rFonts w:ascii="Arial" w:hAnsi="Arial" w:cs="Arial"/>
                <w:b/>
                <w:bCs/>
                <w:color w:val="000000"/>
                <w:sz w:val="18"/>
                <w:szCs w:val="20"/>
              </w:rPr>
            </w:pPr>
            <w:r w:rsidRPr="00844E65">
              <w:rPr>
                <w:rFonts w:ascii="Arial" w:hAnsi="Arial" w:cs="Arial"/>
                <w:b/>
                <w:bCs/>
                <w:color w:val="000000"/>
                <w:sz w:val="18"/>
                <w:szCs w:val="20"/>
              </w:rPr>
              <w:t>Insurance and pure protection</w:t>
            </w:r>
          </w:p>
        </w:tc>
        <w:tc>
          <w:tcPr>
            <w:tcW w:w="776" w:type="pct"/>
            <w:shd w:val="clear" w:color="auto" w:fill="auto"/>
            <w:noWrap/>
            <w:vAlign w:val="center"/>
            <w:hideMark/>
          </w:tcPr>
          <w:p w14:paraId="75351E93"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per 1000 policies in force</w:t>
            </w:r>
          </w:p>
        </w:tc>
        <w:tc>
          <w:tcPr>
            <w:tcW w:w="692" w:type="pct"/>
            <w:shd w:val="clear" w:color="auto" w:fill="auto"/>
            <w:noWrap/>
            <w:vAlign w:val="center"/>
            <w:hideMark/>
          </w:tcPr>
          <w:p w14:paraId="11E2D375"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per 1000 policies sold</w:t>
            </w:r>
          </w:p>
        </w:tc>
        <w:tc>
          <w:tcPr>
            <w:tcW w:w="453" w:type="pct"/>
            <w:shd w:val="clear" w:color="auto" w:fill="auto"/>
            <w:noWrap/>
            <w:vAlign w:val="center"/>
            <w:hideMark/>
          </w:tcPr>
          <w:p w14:paraId="45D6F244"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6218EE79"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718174A4"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0E64ABDF"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472239E4" w14:textId="77777777" w:rsidR="00844E65" w:rsidRPr="00844E65" w:rsidRDefault="00844E65" w:rsidP="0029731C">
            <w:pPr>
              <w:keepNext/>
              <w:spacing w:before="120" w:after="120"/>
              <w:jc w:val="center"/>
              <w:rPr>
                <w:rFonts w:ascii="Arial" w:hAnsi="Arial" w:cs="Arial"/>
                <w:color w:val="000000"/>
                <w:sz w:val="18"/>
                <w:szCs w:val="20"/>
              </w:rPr>
            </w:pPr>
          </w:p>
        </w:tc>
        <w:tc>
          <w:tcPr>
            <w:tcW w:w="452" w:type="pct"/>
            <w:shd w:val="clear" w:color="auto" w:fill="auto"/>
            <w:noWrap/>
            <w:vAlign w:val="center"/>
            <w:hideMark/>
          </w:tcPr>
          <w:p w14:paraId="0713BC4B" w14:textId="77777777" w:rsidR="00844E65" w:rsidRPr="00844E65" w:rsidRDefault="00844E65" w:rsidP="0029731C">
            <w:pPr>
              <w:keepNext/>
              <w:spacing w:before="120" w:after="120"/>
              <w:jc w:val="center"/>
              <w:rPr>
                <w:rFonts w:ascii="Arial" w:hAnsi="Arial" w:cs="Arial"/>
                <w:color w:val="000000"/>
                <w:sz w:val="18"/>
                <w:szCs w:val="20"/>
              </w:rPr>
            </w:pPr>
          </w:p>
        </w:tc>
      </w:tr>
      <w:tr w:rsidR="00844E65" w:rsidRPr="00844E65" w14:paraId="32B81486" w14:textId="77777777" w:rsidTr="00843ABA">
        <w:trPr>
          <w:trHeight w:val="675"/>
        </w:trPr>
        <w:tc>
          <w:tcPr>
            <w:tcW w:w="816" w:type="pct"/>
            <w:shd w:val="clear" w:color="auto" w:fill="auto"/>
            <w:noWrap/>
            <w:vAlign w:val="center"/>
            <w:hideMark/>
          </w:tcPr>
          <w:p w14:paraId="659A0D4F" w14:textId="77777777" w:rsidR="00844E65" w:rsidRPr="00844E65" w:rsidRDefault="00844E65" w:rsidP="0029731C">
            <w:pPr>
              <w:keepNext/>
              <w:spacing w:before="120" w:after="120"/>
              <w:rPr>
                <w:rFonts w:ascii="Arial" w:hAnsi="Arial" w:cs="Arial"/>
                <w:b/>
                <w:bCs/>
                <w:color w:val="000000"/>
                <w:sz w:val="18"/>
                <w:szCs w:val="20"/>
              </w:rPr>
            </w:pPr>
            <w:r w:rsidRPr="00844E65">
              <w:rPr>
                <w:rFonts w:ascii="Arial" w:hAnsi="Arial" w:cs="Arial"/>
                <w:b/>
                <w:bCs/>
                <w:color w:val="000000"/>
                <w:sz w:val="18"/>
                <w:szCs w:val="20"/>
              </w:rPr>
              <w:t>Decumulation and pensions</w:t>
            </w:r>
          </w:p>
        </w:tc>
        <w:tc>
          <w:tcPr>
            <w:tcW w:w="776" w:type="pct"/>
            <w:shd w:val="clear" w:color="auto" w:fill="auto"/>
            <w:noWrap/>
            <w:vAlign w:val="center"/>
            <w:hideMark/>
          </w:tcPr>
          <w:p w14:paraId="61FD6B09"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per 1000 policies in force</w:t>
            </w:r>
          </w:p>
        </w:tc>
        <w:tc>
          <w:tcPr>
            <w:tcW w:w="692" w:type="pct"/>
            <w:shd w:val="clear" w:color="auto" w:fill="auto"/>
            <w:noWrap/>
            <w:vAlign w:val="center"/>
            <w:hideMark/>
          </w:tcPr>
          <w:p w14:paraId="52002238"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per 1000 policies sold</w:t>
            </w:r>
          </w:p>
        </w:tc>
        <w:tc>
          <w:tcPr>
            <w:tcW w:w="453" w:type="pct"/>
            <w:shd w:val="clear" w:color="auto" w:fill="auto"/>
            <w:noWrap/>
            <w:vAlign w:val="center"/>
            <w:hideMark/>
          </w:tcPr>
          <w:p w14:paraId="6A2D9209"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71485F59"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007ED1BF"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1C413BF8"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0DA659B0" w14:textId="77777777" w:rsidR="00844E65" w:rsidRPr="00844E65" w:rsidRDefault="00844E65" w:rsidP="0029731C">
            <w:pPr>
              <w:keepNext/>
              <w:spacing w:before="120" w:after="120"/>
              <w:jc w:val="center"/>
              <w:rPr>
                <w:rFonts w:ascii="Arial" w:hAnsi="Arial" w:cs="Arial"/>
                <w:color w:val="000000"/>
                <w:sz w:val="18"/>
                <w:szCs w:val="20"/>
              </w:rPr>
            </w:pPr>
          </w:p>
        </w:tc>
        <w:tc>
          <w:tcPr>
            <w:tcW w:w="452" w:type="pct"/>
            <w:shd w:val="clear" w:color="auto" w:fill="auto"/>
            <w:noWrap/>
            <w:vAlign w:val="center"/>
            <w:hideMark/>
          </w:tcPr>
          <w:p w14:paraId="41CB6395" w14:textId="77777777" w:rsidR="00844E65" w:rsidRPr="00844E65" w:rsidRDefault="00844E65" w:rsidP="0029731C">
            <w:pPr>
              <w:keepNext/>
              <w:spacing w:before="120" w:after="120"/>
              <w:jc w:val="center"/>
              <w:rPr>
                <w:rFonts w:ascii="Arial" w:hAnsi="Arial" w:cs="Arial"/>
                <w:color w:val="000000"/>
                <w:sz w:val="18"/>
                <w:szCs w:val="20"/>
              </w:rPr>
            </w:pPr>
          </w:p>
        </w:tc>
      </w:tr>
      <w:tr w:rsidR="00844E65" w:rsidRPr="00844E65" w14:paraId="009CE8B0" w14:textId="77777777" w:rsidTr="00843ABA">
        <w:trPr>
          <w:trHeight w:val="944"/>
        </w:trPr>
        <w:tc>
          <w:tcPr>
            <w:tcW w:w="816" w:type="pct"/>
            <w:shd w:val="clear" w:color="auto" w:fill="auto"/>
            <w:noWrap/>
            <w:vAlign w:val="center"/>
            <w:hideMark/>
          </w:tcPr>
          <w:p w14:paraId="5AF81C1D" w14:textId="77777777" w:rsidR="00844E65" w:rsidRPr="00844E65" w:rsidRDefault="00844E65" w:rsidP="0029731C">
            <w:pPr>
              <w:keepNext/>
              <w:spacing w:before="120" w:after="120"/>
              <w:rPr>
                <w:rFonts w:ascii="Arial" w:hAnsi="Arial" w:cs="Arial"/>
                <w:b/>
                <w:bCs/>
                <w:color w:val="000000"/>
                <w:sz w:val="18"/>
                <w:szCs w:val="20"/>
              </w:rPr>
            </w:pPr>
            <w:r w:rsidRPr="00844E65">
              <w:rPr>
                <w:rFonts w:ascii="Arial" w:hAnsi="Arial" w:cs="Arial"/>
                <w:b/>
                <w:bCs/>
                <w:color w:val="000000"/>
                <w:sz w:val="18"/>
                <w:szCs w:val="20"/>
              </w:rPr>
              <w:t>Investments</w:t>
            </w:r>
          </w:p>
        </w:tc>
        <w:tc>
          <w:tcPr>
            <w:tcW w:w="776" w:type="pct"/>
            <w:shd w:val="clear" w:color="auto" w:fill="auto"/>
            <w:noWrap/>
            <w:vAlign w:val="center"/>
            <w:hideMark/>
          </w:tcPr>
          <w:p w14:paraId="7B5B70A7"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per 1000 client accounts</w:t>
            </w:r>
          </w:p>
        </w:tc>
        <w:tc>
          <w:tcPr>
            <w:tcW w:w="692" w:type="pct"/>
            <w:shd w:val="clear" w:color="auto" w:fill="auto"/>
            <w:noWrap/>
            <w:vAlign w:val="center"/>
            <w:hideMark/>
          </w:tcPr>
          <w:p w14:paraId="7DFDBAFD"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per 1000 sales or equivalent transactions</w:t>
            </w:r>
          </w:p>
        </w:tc>
        <w:tc>
          <w:tcPr>
            <w:tcW w:w="453" w:type="pct"/>
            <w:shd w:val="clear" w:color="auto" w:fill="auto"/>
            <w:noWrap/>
            <w:vAlign w:val="center"/>
            <w:hideMark/>
          </w:tcPr>
          <w:p w14:paraId="09FB73B9"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0E9344C5"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42C1F4C3"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25D7A359"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5CA2643F" w14:textId="77777777" w:rsidR="00844E65" w:rsidRPr="00844E65" w:rsidRDefault="00844E65" w:rsidP="0029731C">
            <w:pPr>
              <w:keepNext/>
              <w:spacing w:before="120" w:after="120"/>
              <w:jc w:val="center"/>
              <w:rPr>
                <w:rFonts w:ascii="Arial" w:hAnsi="Arial" w:cs="Arial"/>
                <w:color w:val="000000"/>
                <w:sz w:val="18"/>
                <w:szCs w:val="20"/>
              </w:rPr>
            </w:pPr>
          </w:p>
        </w:tc>
        <w:tc>
          <w:tcPr>
            <w:tcW w:w="452" w:type="pct"/>
            <w:shd w:val="clear" w:color="auto" w:fill="auto"/>
            <w:noWrap/>
            <w:vAlign w:val="center"/>
            <w:hideMark/>
          </w:tcPr>
          <w:p w14:paraId="5CECB9B3" w14:textId="77777777" w:rsidR="00844E65" w:rsidRPr="00844E65" w:rsidRDefault="00844E65" w:rsidP="0029731C">
            <w:pPr>
              <w:keepNext/>
              <w:spacing w:before="120" w:after="120"/>
              <w:jc w:val="center"/>
              <w:rPr>
                <w:rFonts w:ascii="Arial" w:hAnsi="Arial" w:cs="Arial"/>
                <w:color w:val="000000"/>
                <w:sz w:val="18"/>
                <w:szCs w:val="20"/>
              </w:rPr>
            </w:pPr>
          </w:p>
        </w:tc>
      </w:tr>
      <w:tr w:rsidR="00844E65" w:rsidRPr="00844E65" w14:paraId="44B533EA" w14:textId="77777777" w:rsidTr="00843ABA">
        <w:trPr>
          <w:trHeight w:val="293"/>
        </w:trPr>
        <w:tc>
          <w:tcPr>
            <w:tcW w:w="816" w:type="pct"/>
            <w:shd w:val="clear" w:color="auto" w:fill="auto"/>
            <w:noWrap/>
            <w:vAlign w:val="center"/>
            <w:hideMark/>
          </w:tcPr>
          <w:p w14:paraId="1E97678E" w14:textId="77777777" w:rsidR="00844E65" w:rsidRPr="00844E65" w:rsidRDefault="00844E65" w:rsidP="0029731C">
            <w:pPr>
              <w:keepNext/>
              <w:spacing w:before="120" w:after="120"/>
              <w:rPr>
                <w:rFonts w:ascii="Arial" w:hAnsi="Arial" w:cs="Arial"/>
                <w:b/>
                <w:bCs/>
                <w:color w:val="000000"/>
                <w:sz w:val="18"/>
                <w:szCs w:val="20"/>
              </w:rPr>
            </w:pPr>
            <w:r w:rsidRPr="00844E65">
              <w:rPr>
                <w:rFonts w:ascii="Arial" w:hAnsi="Arial" w:cs="Arial"/>
                <w:b/>
                <w:bCs/>
                <w:color w:val="000000"/>
                <w:sz w:val="18"/>
                <w:szCs w:val="20"/>
              </w:rPr>
              <w:t>Credit related</w:t>
            </w:r>
          </w:p>
        </w:tc>
        <w:tc>
          <w:tcPr>
            <w:tcW w:w="776" w:type="pct"/>
            <w:shd w:val="clear" w:color="auto" w:fill="auto"/>
            <w:noWrap/>
            <w:vAlign w:val="center"/>
            <w:hideMark/>
          </w:tcPr>
          <w:p w14:paraId="316C6E3B" w14:textId="77777777" w:rsidR="00844E65" w:rsidRPr="00844E65" w:rsidRDefault="00844E65" w:rsidP="0029731C">
            <w:pPr>
              <w:keepNext/>
              <w:spacing w:before="120" w:after="120"/>
              <w:jc w:val="center"/>
              <w:rPr>
                <w:rFonts w:ascii="Arial" w:hAnsi="Arial" w:cs="Arial"/>
                <w:strike/>
                <w:color w:val="000000"/>
                <w:sz w:val="18"/>
                <w:szCs w:val="20"/>
              </w:rPr>
            </w:pPr>
            <w:r w:rsidRPr="00844E65">
              <w:rPr>
                <w:rFonts w:ascii="Arial" w:hAnsi="Arial" w:cs="Arial"/>
                <w:strike/>
                <w:color w:val="000000"/>
                <w:sz w:val="18"/>
                <w:szCs w:val="20"/>
              </w:rPr>
              <w:t xml:space="preserve"> </w:t>
            </w:r>
            <w:r w:rsidRPr="00844E65">
              <w:rPr>
                <w:rFonts w:ascii="Arial" w:hAnsi="Arial" w:cs="Arial"/>
                <w:i/>
                <w:color w:val="000000"/>
                <w:sz w:val="18"/>
                <w:szCs w:val="20"/>
              </w:rPr>
              <w:t>(Recommended only) per 1000 accounts / loans</w:t>
            </w:r>
          </w:p>
        </w:tc>
        <w:tc>
          <w:tcPr>
            <w:tcW w:w="692" w:type="pct"/>
            <w:shd w:val="clear" w:color="auto" w:fill="auto"/>
            <w:noWrap/>
            <w:vAlign w:val="center"/>
            <w:hideMark/>
          </w:tcPr>
          <w:p w14:paraId="27CDA2E4"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strike/>
                <w:color w:val="000000"/>
                <w:sz w:val="18"/>
                <w:szCs w:val="20"/>
              </w:rPr>
              <w:t xml:space="preserve"> </w:t>
            </w:r>
            <w:r w:rsidRPr="00844E65">
              <w:rPr>
                <w:rFonts w:ascii="Arial" w:hAnsi="Arial" w:cs="Arial"/>
                <w:i/>
                <w:color w:val="000000"/>
                <w:sz w:val="18"/>
                <w:szCs w:val="20"/>
              </w:rPr>
              <w:t>(Recommended only) per 1000 sales</w:t>
            </w:r>
          </w:p>
        </w:tc>
        <w:tc>
          <w:tcPr>
            <w:tcW w:w="453" w:type="pct"/>
            <w:shd w:val="clear" w:color="auto" w:fill="auto"/>
            <w:noWrap/>
            <w:vAlign w:val="center"/>
            <w:hideMark/>
          </w:tcPr>
          <w:p w14:paraId="16EED1AC"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62EE5E3B" w14:textId="77777777" w:rsidR="00844E65" w:rsidRPr="00844E65" w:rsidRDefault="00844E65" w:rsidP="0029731C">
            <w:pPr>
              <w:keepNext/>
              <w:spacing w:before="120" w:after="120"/>
              <w:jc w:val="center"/>
              <w:rPr>
                <w:rFonts w:ascii="Arial" w:hAnsi="Arial" w:cs="Arial"/>
                <w:color w:val="000000"/>
                <w:sz w:val="18"/>
                <w:szCs w:val="20"/>
              </w:rPr>
            </w:pPr>
          </w:p>
        </w:tc>
        <w:tc>
          <w:tcPr>
            <w:tcW w:w="453" w:type="pct"/>
            <w:shd w:val="clear" w:color="auto" w:fill="auto"/>
            <w:noWrap/>
            <w:vAlign w:val="center"/>
            <w:hideMark/>
          </w:tcPr>
          <w:p w14:paraId="6DA1DC1A"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N/A</w:t>
            </w:r>
          </w:p>
        </w:tc>
        <w:tc>
          <w:tcPr>
            <w:tcW w:w="453" w:type="pct"/>
            <w:shd w:val="clear" w:color="auto" w:fill="auto"/>
            <w:noWrap/>
            <w:vAlign w:val="center"/>
            <w:hideMark/>
          </w:tcPr>
          <w:p w14:paraId="7585D1B8"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N/A</w:t>
            </w:r>
          </w:p>
        </w:tc>
        <w:tc>
          <w:tcPr>
            <w:tcW w:w="453" w:type="pct"/>
            <w:shd w:val="clear" w:color="auto" w:fill="auto"/>
            <w:noWrap/>
            <w:vAlign w:val="center"/>
            <w:hideMark/>
          </w:tcPr>
          <w:p w14:paraId="29CB7ED9" w14:textId="77777777" w:rsidR="00844E65" w:rsidRPr="00844E65" w:rsidRDefault="00844E65" w:rsidP="0029731C">
            <w:pPr>
              <w:keepNext/>
              <w:spacing w:before="120" w:after="120"/>
              <w:jc w:val="center"/>
              <w:rPr>
                <w:rFonts w:ascii="Arial" w:hAnsi="Arial" w:cs="Arial"/>
                <w:color w:val="000000"/>
                <w:sz w:val="18"/>
                <w:szCs w:val="20"/>
              </w:rPr>
            </w:pPr>
          </w:p>
        </w:tc>
        <w:tc>
          <w:tcPr>
            <w:tcW w:w="452" w:type="pct"/>
            <w:shd w:val="clear" w:color="auto" w:fill="auto"/>
            <w:noWrap/>
            <w:vAlign w:val="center"/>
            <w:hideMark/>
          </w:tcPr>
          <w:p w14:paraId="7ECE202C" w14:textId="77777777" w:rsidR="00844E65" w:rsidRPr="00844E65" w:rsidRDefault="00844E65" w:rsidP="0029731C">
            <w:pPr>
              <w:keepNext/>
              <w:spacing w:before="120" w:after="120"/>
              <w:jc w:val="center"/>
              <w:rPr>
                <w:rFonts w:ascii="Arial" w:hAnsi="Arial" w:cs="Arial"/>
                <w:color w:val="000000"/>
                <w:sz w:val="18"/>
                <w:szCs w:val="20"/>
              </w:rPr>
            </w:pPr>
            <w:r w:rsidRPr="00844E65">
              <w:rPr>
                <w:rFonts w:ascii="Arial" w:hAnsi="Arial" w:cs="Arial"/>
                <w:color w:val="000000"/>
                <w:sz w:val="18"/>
                <w:szCs w:val="20"/>
              </w:rPr>
              <w:t>N/A</w:t>
            </w:r>
          </w:p>
        </w:tc>
      </w:tr>
      <w:tr w:rsidR="00CF1F59" w:rsidRPr="00844E65" w14:paraId="70018DC8" w14:textId="77777777" w:rsidTr="00843ABA">
        <w:trPr>
          <w:trHeight w:val="410"/>
        </w:trPr>
        <w:tc>
          <w:tcPr>
            <w:tcW w:w="816" w:type="pct"/>
            <w:shd w:val="clear" w:color="auto" w:fill="auto"/>
            <w:noWrap/>
            <w:vAlign w:val="center"/>
          </w:tcPr>
          <w:p w14:paraId="769582A1" w14:textId="77777777" w:rsidR="00CF1F59" w:rsidRPr="00CF1F59" w:rsidRDefault="00CF1F59" w:rsidP="0029731C">
            <w:pPr>
              <w:keepNext/>
              <w:spacing w:before="120" w:after="120"/>
              <w:rPr>
                <w:rFonts w:ascii="Arial" w:hAnsi="Arial" w:cs="Arial"/>
                <w:b/>
                <w:bCs/>
                <w:color w:val="000000"/>
                <w:sz w:val="18"/>
                <w:szCs w:val="20"/>
              </w:rPr>
            </w:pPr>
            <w:r>
              <w:rPr>
                <w:rFonts w:ascii="Arial" w:hAnsi="Arial" w:cs="Arial"/>
                <w:b/>
                <w:bCs/>
                <w:color w:val="000000"/>
                <w:sz w:val="18"/>
                <w:szCs w:val="20"/>
              </w:rPr>
              <w:t>Claims management</w:t>
            </w:r>
          </w:p>
        </w:tc>
        <w:tc>
          <w:tcPr>
            <w:tcW w:w="776" w:type="pct"/>
            <w:shd w:val="clear" w:color="auto" w:fill="auto"/>
            <w:noWrap/>
            <w:vAlign w:val="center"/>
          </w:tcPr>
          <w:p w14:paraId="60C14689" w14:textId="77777777" w:rsidR="00CF1F59" w:rsidRPr="00CF1F59" w:rsidRDefault="00CF1F59" w:rsidP="0029731C">
            <w:pPr>
              <w:keepNext/>
              <w:spacing w:before="120" w:after="120"/>
              <w:jc w:val="center"/>
              <w:rPr>
                <w:rFonts w:ascii="Arial" w:hAnsi="Arial" w:cs="Arial"/>
                <w:color w:val="000000"/>
                <w:sz w:val="18"/>
                <w:szCs w:val="20"/>
              </w:rPr>
            </w:pPr>
            <w:r>
              <w:rPr>
                <w:rFonts w:ascii="Arial" w:hAnsi="Arial" w:cs="Arial"/>
                <w:color w:val="000000"/>
                <w:sz w:val="18"/>
                <w:szCs w:val="20"/>
              </w:rPr>
              <w:t>per 1000 claims in progress and/or leads generated</w:t>
            </w:r>
          </w:p>
        </w:tc>
        <w:tc>
          <w:tcPr>
            <w:tcW w:w="692" w:type="pct"/>
            <w:shd w:val="clear" w:color="auto" w:fill="auto"/>
            <w:noWrap/>
            <w:vAlign w:val="center"/>
          </w:tcPr>
          <w:p w14:paraId="71BBCCE9" w14:textId="77777777" w:rsidR="00CF1F59" w:rsidRPr="00CF1F59" w:rsidRDefault="00CF1F59" w:rsidP="0029731C">
            <w:pPr>
              <w:keepNext/>
              <w:spacing w:before="120" w:after="120"/>
              <w:jc w:val="center"/>
              <w:rPr>
                <w:rFonts w:ascii="Arial" w:hAnsi="Arial" w:cs="Arial"/>
                <w:color w:val="000000"/>
                <w:sz w:val="18"/>
                <w:szCs w:val="20"/>
              </w:rPr>
            </w:pPr>
            <w:r w:rsidRPr="00CF1F59">
              <w:rPr>
                <w:rFonts w:ascii="Arial" w:hAnsi="Arial" w:cs="Arial"/>
                <w:color w:val="000000"/>
                <w:sz w:val="18"/>
                <w:szCs w:val="20"/>
              </w:rPr>
              <w:t>N</w:t>
            </w:r>
            <w:bookmarkStart w:id="0" w:name="_GoBack"/>
            <w:bookmarkEnd w:id="0"/>
            <w:r w:rsidRPr="00CF1F59">
              <w:rPr>
                <w:rFonts w:ascii="Arial" w:hAnsi="Arial" w:cs="Arial"/>
                <w:color w:val="000000"/>
                <w:sz w:val="18"/>
                <w:szCs w:val="20"/>
              </w:rPr>
              <w:t>/A</w:t>
            </w:r>
          </w:p>
        </w:tc>
        <w:tc>
          <w:tcPr>
            <w:tcW w:w="453" w:type="pct"/>
            <w:shd w:val="clear" w:color="auto" w:fill="auto"/>
            <w:noWrap/>
            <w:vAlign w:val="center"/>
          </w:tcPr>
          <w:p w14:paraId="4CB0EA00" w14:textId="77777777" w:rsidR="00CF1F59" w:rsidRPr="00844E65" w:rsidRDefault="00CF1F59" w:rsidP="0029731C">
            <w:pPr>
              <w:keepNext/>
              <w:spacing w:before="120" w:after="120"/>
              <w:jc w:val="center"/>
              <w:rPr>
                <w:rFonts w:ascii="Arial" w:hAnsi="Arial" w:cs="Arial"/>
                <w:color w:val="000000"/>
                <w:sz w:val="18"/>
                <w:szCs w:val="20"/>
              </w:rPr>
            </w:pPr>
          </w:p>
        </w:tc>
        <w:tc>
          <w:tcPr>
            <w:tcW w:w="453" w:type="pct"/>
            <w:shd w:val="clear" w:color="auto" w:fill="auto"/>
            <w:noWrap/>
            <w:vAlign w:val="center"/>
          </w:tcPr>
          <w:p w14:paraId="3A0DD672" w14:textId="77777777" w:rsidR="00CF1F59" w:rsidRPr="00844E65" w:rsidRDefault="00CF1F59" w:rsidP="0029731C">
            <w:pPr>
              <w:keepNext/>
              <w:spacing w:before="120" w:after="120"/>
              <w:jc w:val="center"/>
              <w:rPr>
                <w:rFonts w:ascii="Arial" w:hAnsi="Arial" w:cs="Arial"/>
                <w:color w:val="000000"/>
                <w:sz w:val="18"/>
                <w:szCs w:val="20"/>
              </w:rPr>
            </w:pPr>
          </w:p>
        </w:tc>
        <w:tc>
          <w:tcPr>
            <w:tcW w:w="453" w:type="pct"/>
            <w:shd w:val="clear" w:color="auto" w:fill="auto"/>
            <w:noWrap/>
            <w:vAlign w:val="center"/>
          </w:tcPr>
          <w:p w14:paraId="3FE8A217" w14:textId="77777777" w:rsidR="00CF1F59" w:rsidRPr="00844E65" w:rsidRDefault="00CF1F59" w:rsidP="0029731C">
            <w:pPr>
              <w:keepNext/>
              <w:spacing w:before="120" w:after="120"/>
              <w:jc w:val="center"/>
              <w:rPr>
                <w:rFonts w:ascii="Arial" w:hAnsi="Arial" w:cs="Arial"/>
                <w:color w:val="000000"/>
                <w:sz w:val="18"/>
                <w:szCs w:val="20"/>
              </w:rPr>
            </w:pPr>
          </w:p>
        </w:tc>
        <w:tc>
          <w:tcPr>
            <w:tcW w:w="453" w:type="pct"/>
            <w:shd w:val="clear" w:color="auto" w:fill="auto"/>
            <w:noWrap/>
            <w:vAlign w:val="center"/>
          </w:tcPr>
          <w:p w14:paraId="5A9F1B8E" w14:textId="77777777" w:rsidR="00CF1F59" w:rsidRPr="00844E65" w:rsidRDefault="00CF1F59" w:rsidP="0029731C">
            <w:pPr>
              <w:keepNext/>
              <w:spacing w:before="120" w:after="120"/>
              <w:jc w:val="center"/>
              <w:rPr>
                <w:rFonts w:ascii="Arial" w:hAnsi="Arial" w:cs="Arial"/>
                <w:color w:val="000000"/>
                <w:sz w:val="18"/>
                <w:szCs w:val="20"/>
              </w:rPr>
            </w:pPr>
          </w:p>
        </w:tc>
        <w:tc>
          <w:tcPr>
            <w:tcW w:w="453" w:type="pct"/>
            <w:shd w:val="clear" w:color="auto" w:fill="auto"/>
            <w:noWrap/>
            <w:vAlign w:val="center"/>
          </w:tcPr>
          <w:p w14:paraId="24F0F034" w14:textId="77777777" w:rsidR="00CF1F59" w:rsidRPr="00844E65" w:rsidRDefault="00CF1F59" w:rsidP="0029731C">
            <w:pPr>
              <w:keepNext/>
              <w:spacing w:before="120" w:after="120"/>
              <w:jc w:val="center"/>
              <w:rPr>
                <w:rFonts w:ascii="Arial" w:hAnsi="Arial" w:cs="Arial"/>
                <w:color w:val="000000"/>
                <w:sz w:val="18"/>
                <w:szCs w:val="20"/>
              </w:rPr>
            </w:pPr>
          </w:p>
        </w:tc>
        <w:tc>
          <w:tcPr>
            <w:tcW w:w="452" w:type="pct"/>
            <w:shd w:val="clear" w:color="auto" w:fill="auto"/>
            <w:noWrap/>
            <w:vAlign w:val="center"/>
          </w:tcPr>
          <w:p w14:paraId="4A3BB7A8" w14:textId="77777777" w:rsidR="00CF1F59" w:rsidRPr="00844E65" w:rsidRDefault="00CF1F59" w:rsidP="0029731C">
            <w:pPr>
              <w:keepNext/>
              <w:spacing w:before="120" w:after="120"/>
              <w:jc w:val="center"/>
              <w:rPr>
                <w:rFonts w:ascii="Arial" w:hAnsi="Arial" w:cs="Arial"/>
                <w:color w:val="000000"/>
                <w:sz w:val="18"/>
                <w:szCs w:val="20"/>
              </w:rPr>
            </w:pPr>
          </w:p>
        </w:tc>
      </w:tr>
      <w:tr w:rsidR="00843ABA" w:rsidRPr="00844E65" w14:paraId="41784D63" w14:textId="77777777" w:rsidTr="00843ABA">
        <w:trPr>
          <w:trHeight w:val="37"/>
        </w:trPr>
        <w:tc>
          <w:tcPr>
            <w:tcW w:w="816" w:type="pct"/>
            <w:shd w:val="clear" w:color="auto" w:fill="auto"/>
            <w:noWrap/>
            <w:vAlign w:val="center"/>
          </w:tcPr>
          <w:p w14:paraId="30084C67" w14:textId="2C6CFE37" w:rsidR="00843ABA" w:rsidRDefault="00843ABA" w:rsidP="00843ABA">
            <w:pPr>
              <w:keepNext/>
              <w:spacing w:before="120" w:after="120"/>
              <w:rPr>
                <w:rFonts w:ascii="Arial" w:hAnsi="Arial" w:cs="Arial"/>
                <w:b/>
                <w:bCs/>
                <w:color w:val="000000"/>
                <w:sz w:val="18"/>
                <w:szCs w:val="20"/>
              </w:rPr>
            </w:pPr>
            <w:r w:rsidRPr="00843ABA">
              <w:rPr>
                <w:rFonts w:ascii="Arial" w:hAnsi="Arial" w:cs="Arial"/>
                <w:b/>
                <w:bCs/>
                <w:color w:val="000000"/>
                <w:sz w:val="18"/>
                <w:szCs w:val="20"/>
              </w:rPr>
              <w:t>Funeral</w:t>
            </w:r>
            <w:r>
              <w:rPr>
                <w:rFonts w:ascii="Arial" w:hAnsi="Arial" w:cs="Arial"/>
                <w:b/>
                <w:bCs/>
                <w:color w:val="000000"/>
                <w:sz w:val="18"/>
                <w:szCs w:val="20"/>
              </w:rPr>
              <w:t xml:space="preserve"> </w:t>
            </w:r>
            <w:r w:rsidRPr="00843ABA">
              <w:rPr>
                <w:rFonts w:ascii="Arial" w:hAnsi="Arial" w:cs="Arial"/>
                <w:b/>
                <w:bCs/>
                <w:color w:val="000000"/>
                <w:sz w:val="18"/>
                <w:szCs w:val="20"/>
              </w:rPr>
              <w:t>plans</w:t>
            </w:r>
          </w:p>
        </w:tc>
        <w:tc>
          <w:tcPr>
            <w:tcW w:w="776" w:type="pct"/>
            <w:shd w:val="clear" w:color="auto" w:fill="auto"/>
            <w:noWrap/>
            <w:vAlign w:val="center"/>
          </w:tcPr>
          <w:p w14:paraId="4967D48C" w14:textId="7A2CA234" w:rsidR="00843ABA" w:rsidRDefault="00843ABA" w:rsidP="00843ABA">
            <w:pPr>
              <w:keepNext/>
              <w:spacing w:before="120" w:after="120"/>
              <w:jc w:val="center"/>
              <w:rPr>
                <w:rFonts w:ascii="Arial" w:hAnsi="Arial" w:cs="Arial"/>
                <w:color w:val="000000"/>
                <w:sz w:val="18"/>
                <w:szCs w:val="20"/>
              </w:rPr>
            </w:pPr>
            <w:r w:rsidRPr="00843ABA">
              <w:rPr>
                <w:rFonts w:ascii="Arial" w:hAnsi="Arial" w:cs="Arial"/>
                <w:color w:val="000000"/>
                <w:sz w:val="18"/>
                <w:szCs w:val="20"/>
              </w:rPr>
              <w:t>per 1000</w:t>
            </w:r>
            <w:r>
              <w:rPr>
                <w:rFonts w:ascii="Arial" w:hAnsi="Arial" w:cs="Arial"/>
                <w:color w:val="000000"/>
                <w:sz w:val="18"/>
                <w:szCs w:val="20"/>
              </w:rPr>
              <w:t xml:space="preserve"> </w:t>
            </w:r>
            <w:r w:rsidRPr="00843ABA">
              <w:rPr>
                <w:rFonts w:ascii="Arial" w:hAnsi="Arial" w:cs="Arial"/>
                <w:color w:val="000000"/>
                <w:sz w:val="18"/>
                <w:szCs w:val="20"/>
              </w:rPr>
              <w:t>plans in</w:t>
            </w:r>
            <w:r>
              <w:rPr>
                <w:rFonts w:ascii="Arial" w:hAnsi="Arial" w:cs="Arial"/>
                <w:color w:val="000000"/>
                <w:sz w:val="18"/>
                <w:szCs w:val="20"/>
              </w:rPr>
              <w:t xml:space="preserve"> </w:t>
            </w:r>
            <w:r w:rsidRPr="00843ABA">
              <w:rPr>
                <w:rFonts w:ascii="Arial" w:hAnsi="Arial" w:cs="Arial"/>
                <w:color w:val="000000"/>
                <w:sz w:val="18"/>
                <w:szCs w:val="20"/>
              </w:rPr>
              <w:t>force</w:t>
            </w:r>
          </w:p>
        </w:tc>
        <w:tc>
          <w:tcPr>
            <w:tcW w:w="692" w:type="pct"/>
            <w:shd w:val="clear" w:color="auto" w:fill="auto"/>
            <w:noWrap/>
            <w:vAlign w:val="center"/>
          </w:tcPr>
          <w:p w14:paraId="2F51E37D" w14:textId="510B8A6F" w:rsidR="00843ABA" w:rsidRPr="00CF1F59" w:rsidRDefault="00843ABA" w:rsidP="00843ABA">
            <w:pPr>
              <w:keepNext/>
              <w:spacing w:before="120" w:after="120"/>
              <w:jc w:val="center"/>
              <w:rPr>
                <w:rFonts w:ascii="Arial" w:hAnsi="Arial" w:cs="Arial"/>
                <w:color w:val="000000"/>
                <w:sz w:val="18"/>
                <w:szCs w:val="20"/>
              </w:rPr>
            </w:pPr>
            <w:r w:rsidRPr="00843ABA">
              <w:rPr>
                <w:rFonts w:ascii="Arial" w:hAnsi="Arial" w:cs="Arial"/>
                <w:color w:val="000000"/>
                <w:sz w:val="18"/>
                <w:szCs w:val="20"/>
              </w:rPr>
              <w:t>per 1000 plans</w:t>
            </w:r>
            <w:r>
              <w:rPr>
                <w:rFonts w:ascii="Arial" w:hAnsi="Arial" w:cs="Arial"/>
                <w:color w:val="000000"/>
                <w:sz w:val="18"/>
                <w:szCs w:val="20"/>
              </w:rPr>
              <w:t xml:space="preserve"> </w:t>
            </w:r>
            <w:r w:rsidRPr="00843ABA">
              <w:rPr>
                <w:rFonts w:ascii="Arial" w:hAnsi="Arial" w:cs="Arial"/>
                <w:color w:val="000000"/>
                <w:sz w:val="18"/>
                <w:szCs w:val="20"/>
              </w:rPr>
              <w:t>sold</w:t>
            </w:r>
          </w:p>
        </w:tc>
        <w:tc>
          <w:tcPr>
            <w:tcW w:w="453" w:type="pct"/>
            <w:shd w:val="clear" w:color="auto" w:fill="auto"/>
            <w:noWrap/>
            <w:vAlign w:val="center"/>
          </w:tcPr>
          <w:p w14:paraId="73910A13" w14:textId="77777777" w:rsidR="00843ABA" w:rsidRPr="00844E65" w:rsidRDefault="00843ABA" w:rsidP="0029731C">
            <w:pPr>
              <w:keepNext/>
              <w:spacing w:before="120" w:after="120"/>
              <w:jc w:val="center"/>
              <w:rPr>
                <w:rFonts w:ascii="Arial" w:hAnsi="Arial" w:cs="Arial"/>
                <w:color w:val="000000"/>
                <w:sz w:val="18"/>
                <w:szCs w:val="20"/>
              </w:rPr>
            </w:pPr>
          </w:p>
        </w:tc>
        <w:tc>
          <w:tcPr>
            <w:tcW w:w="453" w:type="pct"/>
            <w:shd w:val="clear" w:color="auto" w:fill="auto"/>
            <w:noWrap/>
            <w:vAlign w:val="center"/>
          </w:tcPr>
          <w:p w14:paraId="1E3C68AD" w14:textId="77777777" w:rsidR="00843ABA" w:rsidRPr="00844E65" w:rsidRDefault="00843ABA" w:rsidP="0029731C">
            <w:pPr>
              <w:keepNext/>
              <w:spacing w:before="120" w:after="120"/>
              <w:jc w:val="center"/>
              <w:rPr>
                <w:rFonts w:ascii="Arial" w:hAnsi="Arial" w:cs="Arial"/>
                <w:color w:val="000000"/>
                <w:sz w:val="18"/>
                <w:szCs w:val="20"/>
              </w:rPr>
            </w:pPr>
          </w:p>
        </w:tc>
        <w:tc>
          <w:tcPr>
            <w:tcW w:w="453" w:type="pct"/>
            <w:shd w:val="clear" w:color="auto" w:fill="auto"/>
            <w:noWrap/>
            <w:vAlign w:val="center"/>
          </w:tcPr>
          <w:p w14:paraId="0E886C5F" w14:textId="77777777" w:rsidR="00843ABA" w:rsidRPr="00844E65" w:rsidRDefault="00843ABA" w:rsidP="0029731C">
            <w:pPr>
              <w:keepNext/>
              <w:spacing w:before="120" w:after="120"/>
              <w:jc w:val="center"/>
              <w:rPr>
                <w:rFonts w:ascii="Arial" w:hAnsi="Arial" w:cs="Arial"/>
                <w:color w:val="000000"/>
                <w:sz w:val="18"/>
                <w:szCs w:val="20"/>
              </w:rPr>
            </w:pPr>
          </w:p>
        </w:tc>
        <w:tc>
          <w:tcPr>
            <w:tcW w:w="453" w:type="pct"/>
            <w:shd w:val="clear" w:color="auto" w:fill="auto"/>
            <w:noWrap/>
            <w:vAlign w:val="center"/>
          </w:tcPr>
          <w:p w14:paraId="22B242D8" w14:textId="77777777" w:rsidR="00843ABA" w:rsidRPr="00844E65" w:rsidRDefault="00843ABA" w:rsidP="0029731C">
            <w:pPr>
              <w:keepNext/>
              <w:spacing w:before="120" w:after="120"/>
              <w:jc w:val="center"/>
              <w:rPr>
                <w:rFonts w:ascii="Arial" w:hAnsi="Arial" w:cs="Arial"/>
                <w:color w:val="000000"/>
                <w:sz w:val="18"/>
                <w:szCs w:val="20"/>
              </w:rPr>
            </w:pPr>
          </w:p>
        </w:tc>
        <w:tc>
          <w:tcPr>
            <w:tcW w:w="453" w:type="pct"/>
            <w:shd w:val="clear" w:color="auto" w:fill="auto"/>
            <w:noWrap/>
            <w:vAlign w:val="center"/>
          </w:tcPr>
          <w:p w14:paraId="2BBB1324" w14:textId="77777777" w:rsidR="00843ABA" w:rsidRPr="00844E65" w:rsidRDefault="00843ABA" w:rsidP="0029731C">
            <w:pPr>
              <w:keepNext/>
              <w:spacing w:before="120" w:after="120"/>
              <w:jc w:val="center"/>
              <w:rPr>
                <w:rFonts w:ascii="Arial" w:hAnsi="Arial" w:cs="Arial"/>
                <w:color w:val="000000"/>
                <w:sz w:val="18"/>
                <w:szCs w:val="20"/>
              </w:rPr>
            </w:pPr>
          </w:p>
        </w:tc>
        <w:tc>
          <w:tcPr>
            <w:tcW w:w="452" w:type="pct"/>
            <w:shd w:val="clear" w:color="auto" w:fill="auto"/>
            <w:noWrap/>
            <w:vAlign w:val="center"/>
          </w:tcPr>
          <w:p w14:paraId="42DA082C" w14:textId="77777777" w:rsidR="00843ABA" w:rsidRPr="00844E65" w:rsidRDefault="00843ABA" w:rsidP="0029731C">
            <w:pPr>
              <w:keepNext/>
              <w:spacing w:before="120" w:after="120"/>
              <w:jc w:val="center"/>
              <w:rPr>
                <w:rFonts w:ascii="Arial" w:hAnsi="Arial" w:cs="Arial"/>
                <w:color w:val="000000"/>
                <w:sz w:val="18"/>
                <w:szCs w:val="20"/>
              </w:rPr>
            </w:pPr>
          </w:p>
        </w:tc>
      </w:tr>
    </w:tbl>
    <w:p w14:paraId="06A92520" w14:textId="77777777" w:rsidR="00CF1F59" w:rsidRDefault="00CF1F59" w:rsidP="00844E65">
      <w:pPr>
        <w:spacing w:before="120" w:after="120"/>
        <w:rPr>
          <w:rFonts w:ascii="Arial" w:hAnsi="Arial" w:cs="Arial"/>
          <w:b/>
          <w:sz w:val="20"/>
          <w:szCs w:val="20"/>
        </w:rPr>
      </w:pPr>
    </w:p>
    <w:p w14:paraId="2201ECA8" w14:textId="77777777" w:rsidR="00844E65" w:rsidRPr="00844E65" w:rsidRDefault="00844E65" w:rsidP="00844E65">
      <w:pPr>
        <w:spacing w:before="120" w:after="120"/>
        <w:rPr>
          <w:rFonts w:ascii="Arial" w:hAnsi="Arial" w:cs="Arial"/>
          <w:sz w:val="20"/>
          <w:szCs w:val="20"/>
        </w:rPr>
      </w:pPr>
      <w:r w:rsidRPr="00844E65">
        <w:rPr>
          <w:rFonts w:ascii="Arial" w:hAnsi="Arial" w:cs="Arial"/>
          <w:b/>
          <w:sz w:val="20"/>
          <w:szCs w:val="20"/>
        </w:rPr>
        <w:lastRenderedPageBreak/>
        <w:t>Note 1</w:t>
      </w:r>
      <w:r w:rsidRPr="00844E65">
        <w:rPr>
          <w:rFonts w:ascii="Arial" w:hAnsi="Arial" w:cs="Arial"/>
          <w:sz w:val="20"/>
          <w:szCs w:val="20"/>
        </w:rPr>
        <w:t xml:space="preserve">: When providing the appropriate information on the context of complaints, a </w:t>
      </w:r>
      <w:r w:rsidRPr="00844E65">
        <w:rPr>
          <w:rFonts w:ascii="Arial" w:hAnsi="Arial" w:cs="Arial"/>
          <w:i/>
          <w:sz w:val="20"/>
          <w:szCs w:val="20"/>
        </w:rPr>
        <w:t>firm</w:t>
      </w:r>
      <w:r w:rsidRPr="00844E65">
        <w:rPr>
          <w:rFonts w:ascii="Arial" w:hAnsi="Arial" w:cs="Arial"/>
          <w:sz w:val="20"/>
          <w:szCs w:val="20"/>
        </w:rPr>
        <w:t xml:space="preserve"> should choose the metric which best reflects whether the majority of business undertaken by the </w:t>
      </w:r>
      <w:r w:rsidRPr="00844E65">
        <w:rPr>
          <w:rFonts w:ascii="Arial" w:hAnsi="Arial" w:cs="Arial"/>
          <w:i/>
          <w:sz w:val="20"/>
          <w:szCs w:val="20"/>
        </w:rPr>
        <w:t>firm</w:t>
      </w:r>
      <w:r w:rsidRPr="00844E65">
        <w:rPr>
          <w:rFonts w:ascii="Arial" w:hAnsi="Arial" w:cs="Arial"/>
          <w:sz w:val="20"/>
          <w:szCs w:val="20"/>
        </w:rPr>
        <w:t xml:space="preserve"> involves the provision of products or services by the </w:t>
      </w:r>
      <w:r w:rsidRPr="00844E65">
        <w:rPr>
          <w:rFonts w:ascii="Arial" w:hAnsi="Arial" w:cs="Arial"/>
          <w:i/>
          <w:sz w:val="20"/>
          <w:szCs w:val="20"/>
        </w:rPr>
        <w:t>firm</w:t>
      </w:r>
      <w:r w:rsidRPr="00844E65">
        <w:rPr>
          <w:rFonts w:ascii="Arial" w:hAnsi="Arial" w:cs="Arial"/>
          <w:sz w:val="20"/>
          <w:szCs w:val="20"/>
        </w:rPr>
        <w:t xml:space="preserve"> itself or intermediation. </w:t>
      </w:r>
      <w:r w:rsidR="00736EAC" w:rsidRPr="00736EAC">
        <w:rPr>
          <w:rFonts w:ascii="Arial" w:hAnsi="Arial" w:cs="Arial"/>
          <w:sz w:val="20"/>
          <w:szCs w:val="20"/>
        </w:rPr>
        <w:t xml:space="preserve">In cases where this is not possible, a </w:t>
      </w:r>
      <w:r w:rsidR="00736EAC" w:rsidRPr="00736EAC">
        <w:rPr>
          <w:rFonts w:ascii="Arial" w:hAnsi="Arial" w:cs="Arial"/>
          <w:i/>
          <w:sz w:val="20"/>
          <w:szCs w:val="20"/>
        </w:rPr>
        <w:t>firm</w:t>
      </w:r>
      <w:r w:rsidR="00736EAC" w:rsidRPr="00736EAC">
        <w:rPr>
          <w:rFonts w:ascii="Arial" w:hAnsi="Arial" w:cs="Arial"/>
          <w:sz w:val="20"/>
          <w:szCs w:val="20"/>
        </w:rPr>
        <w:t xml:space="preserve"> may provide information on context for both intermediation and provision.</w:t>
      </w:r>
    </w:p>
    <w:p w14:paraId="3EE0AD11" w14:textId="77777777" w:rsidR="00844E65" w:rsidRPr="00844E65" w:rsidRDefault="00844E65" w:rsidP="00844E65">
      <w:pPr>
        <w:spacing w:before="120" w:after="120"/>
        <w:rPr>
          <w:rFonts w:ascii="Arial" w:hAnsi="Arial" w:cs="Arial"/>
          <w:sz w:val="20"/>
          <w:szCs w:val="20"/>
        </w:rPr>
      </w:pPr>
      <w:r w:rsidRPr="00844E65">
        <w:rPr>
          <w:rFonts w:ascii="Arial" w:hAnsi="Arial" w:cs="Arial"/>
          <w:b/>
          <w:sz w:val="20"/>
          <w:szCs w:val="20"/>
        </w:rPr>
        <w:t>Note 2</w:t>
      </w:r>
      <w:r w:rsidRPr="00844E65">
        <w:rPr>
          <w:rFonts w:ascii="Arial" w:hAnsi="Arial" w:cs="Arial"/>
          <w:sz w:val="20"/>
          <w:szCs w:val="20"/>
        </w:rPr>
        <w:t xml:space="preserve">: For provision, information on context should relate the number of complaints opened within the reporting period to the total volume of a </w:t>
      </w:r>
      <w:r w:rsidRPr="00844E65">
        <w:rPr>
          <w:rFonts w:ascii="Arial" w:hAnsi="Arial" w:cs="Arial"/>
          <w:i/>
          <w:sz w:val="20"/>
          <w:szCs w:val="20"/>
        </w:rPr>
        <w:t>firm’s</w:t>
      </w:r>
      <w:r w:rsidRPr="00844E65">
        <w:rPr>
          <w:rFonts w:ascii="Arial" w:hAnsi="Arial" w:cs="Arial"/>
          <w:sz w:val="20"/>
          <w:szCs w:val="20"/>
        </w:rPr>
        <w:t xml:space="preserve"> relevant business at the end date of the reporting period. This is likely to include accounts opened, loans provided, policies sold and funds and investments provided before the commencement of the relevant reporting period.</w:t>
      </w:r>
    </w:p>
    <w:p w14:paraId="4C5C3C51" w14:textId="77777777" w:rsidR="00844E65" w:rsidRPr="00844E65" w:rsidRDefault="00844E65" w:rsidP="00844E65">
      <w:pPr>
        <w:spacing w:before="120" w:after="120"/>
        <w:rPr>
          <w:rFonts w:ascii="Arial" w:hAnsi="Arial" w:cs="Arial"/>
          <w:sz w:val="20"/>
          <w:szCs w:val="20"/>
        </w:rPr>
      </w:pPr>
      <w:r w:rsidRPr="00844E65">
        <w:rPr>
          <w:rFonts w:ascii="Arial" w:hAnsi="Arial" w:cs="Arial"/>
          <w:b/>
          <w:sz w:val="20"/>
          <w:szCs w:val="20"/>
        </w:rPr>
        <w:t>Note 3</w:t>
      </w:r>
      <w:r w:rsidRPr="00844E65">
        <w:rPr>
          <w:rFonts w:ascii="Arial" w:hAnsi="Arial" w:cs="Arial"/>
          <w:sz w:val="20"/>
          <w:szCs w:val="20"/>
        </w:rPr>
        <w:t xml:space="preserve">: For intermediation, information on context published by a </w:t>
      </w:r>
      <w:r w:rsidRPr="00844E65">
        <w:rPr>
          <w:rFonts w:ascii="Arial" w:hAnsi="Arial" w:cs="Arial"/>
          <w:i/>
          <w:sz w:val="20"/>
          <w:szCs w:val="20"/>
        </w:rPr>
        <w:t>firm</w:t>
      </w:r>
      <w:r w:rsidRPr="00844E65">
        <w:rPr>
          <w:rFonts w:ascii="Arial" w:hAnsi="Arial" w:cs="Arial"/>
          <w:sz w:val="20"/>
          <w:szCs w:val="20"/>
        </w:rPr>
        <w:t xml:space="preserve"> should relate the number of complaints opened within the reporting period to the number of sales within the relevant reporting period only.</w:t>
      </w:r>
    </w:p>
    <w:p w14:paraId="0982D2C9" w14:textId="77777777" w:rsidR="00844E65" w:rsidRPr="00844E65" w:rsidRDefault="00844E65" w:rsidP="00844E65">
      <w:pPr>
        <w:spacing w:before="120" w:after="120"/>
        <w:rPr>
          <w:rFonts w:ascii="Arial" w:hAnsi="Arial" w:cs="Arial"/>
          <w:sz w:val="20"/>
          <w:szCs w:val="20"/>
        </w:rPr>
      </w:pPr>
      <w:r w:rsidRPr="00844E65">
        <w:rPr>
          <w:rFonts w:ascii="Arial" w:hAnsi="Arial" w:cs="Arial"/>
          <w:b/>
          <w:sz w:val="20"/>
          <w:szCs w:val="20"/>
        </w:rPr>
        <w:t>Note 4</w:t>
      </w:r>
      <w:r w:rsidRPr="00844E65">
        <w:rPr>
          <w:rFonts w:ascii="Arial" w:hAnsi="Arial" w:cs="Arial"/>
          <w:sz w:val="20"/>
          <w:szCs w:val="20"/>
        </w:rPr>
        <w:t xml:space="preserve">: It is recommended that </w:t>
      </w:r>
      <w:r w:rsidRPr="00844E65">
        <w:rPr>
          <w:rFonts w:ascii="Arial" w:hAnsi="Arial" w:cs="Arial"/>
          <w:i/>
          <w:sz w:val="20"/>
          <w:szCs w:val="20"/>
        </w:rPr>
        <w:t>firms</w:t>
      </w:r>
      <w:r w:rsidRPr="00844E65">
        <w:rPr>
          <w:rFonts w:ascii="Arial" w:hAnsi="Arial" w:cs="Arial"/>
          <w:sz w:val="20"/>
          <w:szCs w:val="20"/>
        </w:rPr>
        <w:t xml:space="preserve"> publish appropriate information on context in respect of credit-related complaints. However, publication of this data is not mandatory.</w:t>
      </w:r>
    </w:p>
    <w:p w14:paraId="7ADD16F3" w14:textId="789AD7F1" w:rsidR="00844E65" w:rsidRPr="00844E65" w:rsidRDefault="00844E65" w:rsidP="00843ABA">
      <w:pPr>
        <w:spacing w:before="120" w:after="120"/>
        <w:rPr>
          <w:rFonts w:ascii="Arial" w:hAnsi="Arial" w:cs="Arial"/>
          <w:sz w:val="20"/>
          <w:szCs w:val="20"/>
        </w:rPr>
      </w:pPr>
      <w:r w:rsidRPr="00844E65">
        <w:rPr>
          <w:rFonts w:ascii="Arial" w:hAnsi="Arial" w:cs="Arial"/>
          <w:b/>
          <w:sz w:val="20"/>
          <w:szCs w:val="20"/>
        </w:rPr>
        <w:t>Note 5</w:t>
      </w:r>
      <w:r w:rsidRPr="00844E65">
        <w:rPr>
          <w:rFonts w:ascii="Arial" w:hAnsi="Arial" w:cs="Arial"/>
          <w:sz w:val="20"/>
          <w:szCs w:val="20"/>
        </w:rPr>
        <w:t xml:space="preserve">: </w:t>
      </w:r>
      <w:r w:rsidR="00843ABA" w:rsidRPr="00843ABA">
        <w:rPr>
          <w:rFonts w:ascii="Arial" w:hAnsi="Arial" w:cs="Arial"/>
          <w:sz w:val="20"/>
          <w:szCs w:val="20"/>
        </w:rPr>
        <w:t>When a firm publishes the ‘main cause of complaints opened’, this should be the</w:t>
      </w:r>
      <w:r w:rsidR="00843ABA">
        <w:rPr>
          <w:rFonts w:ascii="Arial" w:hAnsi="Arial" w:cs="Arial"/>
          <w:sz w:val="20"/>
          <w:szCs w:val="20"/>
        </w:rPr>
        <w:t xml:space="preserve"> </w:t>
      </w:r>
      <w:r w:rsidR="00843ABA" w:rsidRPr="00843ABA">
        <w:rPr>
          <w:rFonts w:ascii="Arial" w:hAnsi="Arial" w:cs="Arial"/>
          <w:sz w:val="20"/>
          <w:szCs w:val="20"/>
        </w:rPr>
        <w:t>cause category prompting the largest number of complaints for the relevant</w:t>
      </w:r>
      <w:r w:rsidR="00843ABA">
        <w:rPr>
          <w:rFonts w:ascii="Arial" w:hAnsi="Arial" w:cs="Arial"/>
          <w:sz w:val="20"/>
          <w:szCs w:val="20"/>
        </w:rPr>
        <w:t xml:space="preserve"> </w:t>
      </w:r>
      <w:r w:rsidR="00843ABA" w:rsidRPr="00843ABA">
        <w:rPr>
          <w:rFonts w:ascii="Arial" w:hAnsi="Arial" w:cs="Arial"/>
          <w:sz w:val="20"/>
          <w:szCs w:val="20"/>
        </w:rPr>
        <w:t xml:space="preserve">product/service grouping in, as applicable, Table 4 of Part A-2, </w:t>
      </w:r>
      <w:r w:rsidR="00843ABA" w:rsidRPr="00843ABA">
        <w:rPr>
          <w:rFonts w:ascii="Arial" w:hAnsi="Arial" w:cs="Arial"/>
          <w:i/>
          <w:iCs/>
          <w:sz w:val="20"/>
          <w:szCs w:val="20"/>
        </w:rPr>
        <w:t>DISP</w:t>
      </w:r>
      <w:r w:rsidR="00843ABA" w:rsidRPr="00843ABA">
        <w:rPr>
          <w:rFonts w:ascii="Arial" w:hAnsi="Arial" w:cs="Arial"/>
          <w:sz w:val="20"/>
          <w:szCs w:val="20"/>
        </w:rPr>
        <w:t xml:space="preserve"> 1 Annex 1,</w:t>
      </w:r>
      <w:r w:rsidR="00843ABA">
        <w:rPr>
          <w:rFonts w:ascii="Arial" w:hAnsi="Arial" w:cs="Arial"/>
          <w:sz w:val="20"/>
          <w:szCs w:val="20"/>
        </w:rPr>
        <w:t xml:space="preserve"> </w:t>
      </w:r>
      <w:r w:rsidR="00843ABA" w:rsidRPr="00843ABA">
        <w:rPr>
          <w:rFonts w:ascii="Arial" w:hAnsi="Arial" w:cs="Arial"/>
          <w:sz w:val="20"/>
          <w:szCs w:val="20"/>
        </w:rPr>
        <w:t xml:space="preserve">Table 1 of </w:t>
      </w:r>
      <w:r w:rsidR="00843ABA" w:rsidRPr="00843ABA">
        <w:rPr>
          <w:rFonts w:ascii="Arial" w:hAnsi="Arial" w:cs="Arial"/>
          <w:i/>
          <w:iCs/>
          <w:sz w:val="20"/>
          <w:szCs w:val="20"/>
        </w:rPr>
        <w:t>DISP</w:t>
      </w:r>
      <w:r w:rsidR="00843ABA" w:rsidRPr="00843ABA">
        <w:rPr>
          <w:rFonts w:ascii="Arial" w:hAnsi="Arial" w:cs="Arial"/>
          <w:sz w:val="20"/>
          <w:szCs w:val="20"/>
        </w:rPr>
        <w:t xml:space="preserve"> 1 Annex 1ABR or Table 1 of </w:t>
      </w:r>
      <w:r w:rsidR="00843ABA" w:rsidRPr="00843ABA">
        <w:rPr>
          <w:rFonts w:ascii="Arial" w:hAnsi="Arial" w:cs="Arial"/>
          <w:i/>
          <w:iCs/>
          <w:sz w:val="20"/>
          <w:szCs w:val="20"/>
        </w:rPr>
        <w:t>DISP</w:t>
      </w:r>
      <w:r w:rsidR="00843ABA" w:rsidRPr="00843ABA">
        <w:rPr>
          <w:rFonts w:ascii="Arial" w:hAnsi="Arial" w:cs="Arial"/>
          <w:sz w:val="20"/>
          <w:szCs w:val="20"/>
        </w:rPr>
        <w:t xml:space="preserve"> 1 Annex 1ACR</w:t>
      </w:r>
      <w:r w:rsidRPr="00844E65">
        <w:rPr>
          <w:rFonts w:ascii="Arial" w:hAnsi="Arial" w:cs="Arial"/>
          <w:sz w:val="20"/>
          <w:szCs w:val="20"/>
        </w:rPr>
        <w:t>.</w:t>
      </w:r>
    </w:p>
    <w:p w14:paraId="0EC64F62" w14:textId="77777777" w:rsidR="00B96E18" w:rsidRDefault="00B96E18" w:rsidP="006A73BF">
      <w:pPr>
        <w:pStyle w:val="Default"/>
      </w:pPr>
    </w:p>
    <w:sectPr w:rsidR="00B96E18">
      <w:headerReference w:type="default" r:id="rId6"/>
      <w:pgSz w:w="11904" w:h="17340"/>
      <w:pgMar w:top="2219" w:right="1310" w:bottom="1440" w:left="15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11524" w14:textId="77777777" w:rsidR="00882266" w:rsidRDefault="00882266" w:rsidP="006A73BF">
      <w:r>
        <w:separator/>
      </w:r>
    </w:p>
  </w:endnote>
  <w:endnote w:type="continuationSeparator" w:id="0">
    <w:p w14:paraId="39E3868F" w14:textId="77777777" w:rsidR="00882266" w:rsidRDefault="00882266" w:rsidP="006A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1B139" w14:textId="77777777" w:rsidR="00882266" w:rsidRDefault="00882266" w:rsidP="006A73BF">
      <w:r>
        <w:separator/>
      </w:r>
    </w:p>
  </w:footnote>
  <w:footnote w:type="continuationSeparator" w:id="0">
    <w:p w14:paraId="6E199B32" w14:textId="77777777" w:rsidR="00882266" w:rsidRDefault="00882266" w:rsidP="006A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D01F" w14:textId="77777777" w:rsidR="006A73BF" w:rsidRDefault="006A73BF">
    <w:pPr>
      <w:pStyle w:val="Header"/>
    </w:pPr>
    <w:r w:rsidRPr="00C1236D">
      <w:rPr>
        <w:b/>
        <w:szCs w:val="20"/>
      </w:rPr>
      <w:t>1 Annex 1BR</w:t>
    </w:r>
    <w:r>
      <w:rPr>
        <w:b/>
        <w:szCs w:val="20"/>
      </w:rPr>
      <w:tab/>
    </w:r>
    <w:r>
      <w:rPr>
        <w:b/>
        <w:szCs w:val="20"/>
      </w:rPr>
      <w:tab/>
    </w:r>
    <w:r w:rsidRPr="00C1236D">
      <w:rPr>
        <w:b/>
        <w:szCs w:val="20"/>
      </w:rPr>
      <w:t>Complaints publication report</w:t>
    </w:r>
  </w:p>
  <w:p w14:paraId="42A90150" w14:textId="77777777" w:rsidR="006A73BF" w:rsidRDefault="006A7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3BF"/>
    <w:rsid w:val="00282F5A"/>
    <w:rsid w:val="00643A41"/>
    <w:rsid w:val="006739B3"/>
    <w:rsid w:val="006A73BF"/>
    <w:rsid w:val="00736EAC"/>
    <w:rsid w:val="00843ABA"/>
    <w:rsid w:val="00844E65"/>
    <w:rsid w:val="00882266"/>
    <w:rsid w:val="00B96E18"/>
    <w:rsid w:val="00CF1F59"/>
    <w:rsid w:val="00D717E3"/>
    <w:rsid w:val="00E06A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24D08"/>
  <w14:defaultImageDpi w14:val="96"/>
  <w15:docId w15:val="{C2C44EF1-75BB-4256-9C0F-8C8C8D3F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Default"/>
    <w:next w:val="Default"/>
    <w:link w:val="Heading2Char"/>
    <w:uiPriority w:val="99"/>
    <w:qFormat/>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MacroText">
    <w:name w:val="macro"/>
    <w:basedOn w:val="Default"/>
    <w:next w:val="Default"/>
    <w:link w:val="MacroTextChar"/>
    <w:uiPriority w:val="99"/>
    <w:rPr>
      <w:color w:val="auto"/>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Header">
    <w:name w:val="header"/>
    <w:basedOn w:val="Normal"/>
    <w:link w:val="HeaderChar"/>
    <w:uiPriority w:val="99"/>
    <w:unhideWhenUsed/>
    <w:rsid w:val="006A73BF"/>
    <w:pPr>
      <w:tabs>
        <w:tab w:val="center" w:pos="4513"/>
        <w:tab w:val="right" w:pos="9026"/>
      </w:tabs>
    </w:pPr>
  </w:style>
  <w:style w:type="character" w:customStyle="1" w:styleId="HeaderChar">
    <w:name w:val="Header Char"/>
    <w:basedOn w:val="DefaultParagraphFont"/>
    <w:link w:val="Header"/>
    <w:uiPriority w:val="99"/>
    <w:rsid w:val="006A73BF"/>
    <w:rPr>
      <w:rFonts w:ascii="Times New Roman" w:hAnsi="Times New Roman" w:cs="Times New Roman"/>
      <w:sz w:val="24"/>
      <w:szCs w:val="24"/>
    </w:rPr>
  </w:style>
  <w:style w:type="paragraph" w:styleId="Footer">
    <w:name w:val="footer"/>
    <w:basedOn w:val="Normal"/>
    <w:link w:val="FooterChar"/>
    <w:uiPriority w:val="99"/>
    <w:unhideWhenUsed/>
    <w:rsid w:val="006A73BF"/>
    <w:pPr>
      <w:tabs>
        <w:tab w:val="center" w:pos="4513"/>
        <w:tab w:val="right" w:pos="9026"/>
      </w:tabs>
    </w:pPr>
  </w:style>
  <w:style w:type="character" w:customStyle="1" w:styleId="FooterChar">
    <w:name w:val="Footer Char"/>
    <w:basedOn w:val="DefaultParagraphFont"/>
    <w:link w:val="Footer"/>
    <w:uiPriority w:val="99"/>
    <w:rsid w:val="006A73B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A73BF"/>
    <w:rPr>
      <w:rFonts w:ascii="Tahoma" w:hAnsi="Tahoma" w:cs="Tahoma"/>
      <w:sz w:val="16"/>
      <w:szCs w:val="16"/>
    </w:rPr>
  </w:style>
  <w:style w:type="character" w:customStyle="1" w:styleId="BalloonTextChar">
    <w:name w:val="Balloon Text Char"/>
    <w:basedOn w:val="DefaultParagraphFont"/>
    <w:link w:val="BalloonText"/>
    <w:uiPriority w:val="99"/>
    <w:semiHidden/>
    <w:rsid w:val="006A7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DISP 1 Annex 1BR</vt:lpstr>
    </vt:vector>
  </TitlesOfParts>
  <Company>Financial Conduct Authority</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 1 Annex 1BR</dc:title>
  <dc:creator>FCA</dc:creator>
  <cp:lastModifiedBy>Ayesha Dayaji</cp:lastModifiedBy>
  <cp:revision>9</cp:revision>
  <dcterms:created xsi:type="dcterms:W3CDTF">2015-06-29T10:40:00Z</dcterms:created>
  <dcterms:modified xsi:type="dcterms:W3CDTF">2021-06-24T13:06:00Z</dcterms:modified>
</cp:coreProperties>
</file>